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0"/>
        <w:jc w:val="both"/>
        <w:rPr>
          <w:rFonts w:hint="default" w:ascii="Times New Roman" w:hAnsi="Times New Roman" w:cs="Times New Roman"/>
          <w:i w:val="0"/>
          <w:iCs w:val="0"/>
          <w:caps w:val="0"/>
          <w:color w:val="000000"/>
          <w:spacing w:val="0"/>
          <w:sz w:val="24"/>
          <w:szCs w:val="24"/>
        </w:rPr>
      </w:pPr>
      <w:r>
        <w:rPr>
          <w:rFonts w:ascii="楷体" w:hAnsi="楷体" w:eastAsia="楷体" w:cs="楷体"/>
          <w:i w:val="0"/>
          <w:iCs w:val="0"/>
          <w:caps w:val="0"/>
          <w:color w:val="000000"/>
          <w:spacing w:val="0"/>
          <w:sz w:val="24"/>
          <w:szCs w:val="24"/>
          <w:bdr w:val="none" w:color="auto" w:sz="0" w:space="0"/>
          <w:shd w:val="clear" w:fill="FFFFFF"/>
        </w:rPr>
        <w:t>附件</w:t>
      </w:r>
      <w:r>
        <w:rPr>
          <w:rFonts w:hint="default" w:ascii="Times New Roman" w:hAnsi="Times New Roman" w:cs="Times New Roman"/>
          <w:i w:val="0"/>
          <w:iCs w:val="0"/>
          <w:caps w:val="0"/>
          <w:color w:val="000000"/>
          <w:spacing w:val="0"/>
          <w:sz w:val="24"/>
          <w:szCs w:val="24"/>
          <w:bdr w:val="none" w:color="auto" w:sz="0" w:space="0"/>
          <w:shd w:val="clear" w:fill="FFFFFF"/>
        </w:rPr>
        <w:t>1</w:t>
      </w:r>
      <w:r>
        <w:rPr>
          <w:rFonts w:ascii="方正小标宋_GBK" w:hAnsi="方正小标宋_GBK" w:eastAsia="方正小标宋_GBK" w:cs="方正小标宋_GBK"/>
          <w:i w:val="0"/>
          <w:iCs w:val="0"/>
          <w:caps w:val="0"/>
          <w:color w:val="000000"/>
          <w:spacing w:val="0"/>
          <w:sz w:val="24"/>
          <w:szCs w:val="24"/>
          <w:bdr w:val="none" w:color="auto" w:sz="0" w:space="0"/>
          <w:shd w:val="clear" w:fill="FFFFFF"/>
        </w:rPr>
        <w:t>现场确认需准备的材料种类清单</w:t>
      </w:r>
      <w:r>
        <w:rPr>
          <w:rFonts w:hint="default" w:ascii="方正小标宋_GBK" w:hAnsi="方正小标宋_GBK" w:eastAsia="方正小标宋_GBK" w:cs="方正小标宋_GBK"/>
          <w:i w:val="0"/>
          <w:iCs w:val="0"/>
          <w:caps w:val="0"/>
          <w:color w:val="000000"/>
          <w:spacing w:val="0"/>
          <w:sz w:val="24"/>
          <w:szCs w:val="24"/>
          <w:bdr w:val="none" w:color="auto" w:sz="0" w:space="0"/>
          <w:shd w:val="clear" w:fill="FFFFFF"/>
        </w:rPr>
        <w:t>及有关说明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24"/>
          <w:szCs w:val="24"/>
        </w:rPr>
      </w:pPr>
      <w:r>
        <w:rPr>
          <w:rFonts w:hint="eastAsia" w:ascii="楷体" w:hAnsi="楷体" w:eastAsia="楷体" w:cs="楷体"/>
          <w:b w:val="0"/>
          <w:bCs w:val="0"/>
          <w:i w:val="0"/>
          <w:iCs w:val="0"/>
          <w:caps w:val="0"/>
          <w:color w:val="000000"/>
          <w:spacing w:val="0"/>
          <w:sz w:val="24"/>
          <w:szCs w:val="24"/>
          <w:bdr w:val="none" w:color="auto" w:sz="0" w:space="0"/>
          <w:shd w:val="clear" w:fill="FFFFFF"/>
        </w:rPr>
        <w:t>（一）材料种类清单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身份证（须在有效期内）。身份证遗失的，须提供公安</w:t>
      </w:r>
      <w:r>
        <w:rPr>
          <w:rFonts w:hint="eastAsia" w:ascii="宋体" w:hAnsi="宋体" w:eastAsia="宋体" w:cs="宋体"/>
          <w:i w:val="0"/>
          <w:iCs w:val="0"/>
          <w:caps w:val="0"/>
          <w:color w:val="000000"/>
          <w:spacing w:val="-2"/>
          <w:sz w:val="24"/>
          <w:szCs w:val="24"/>
          <w:bdr w:val="none" w:color="auto" w:sz="0" w:space="0"/>
          <w:shd w:val="clear" w:fill="FFFFFF"/>
        </w:rPr>
        <w:t>部门办理的临时身份证原件。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000000"/>
          <w:spacing w:val="0"/>
          <w:sz w:val="24"/>
          <w:szCs w:val="24"/>
          <w:bdr w:val="none" w:color="auto" w:sz="0" w:space="0"/>
          <w:shd w:val="clear" w:fill="FFFFFF"/>
        </w:rPr>
        <w:t>户口簿或居住证。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在户籍地或居住地申请认定的人员提供户口簿或有效期内的当地居住证。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在学校所在地申请认定的应届毕业生、全日制专升本学生和在读研究生提供所在学校学籍管理部门出具的在籍学习证明原件或学信网下载打印的“在线学籍验证报告”。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驻我区部队现役军人或现役武警需提供所属部队或单位组织人事部门出具的人事关系证明原件，证明格式依部队或单位的规定而定，证明需明示申请人属于驻我区部队。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32"/>
        <w:jc w:val="both"/>
        <w:rPr>
          <w:rFonts w:hint="default" w:ascii="Times New Roman" w:hAnsi="Times New Roman" w:cs="Times New Roman"/>
          <w:i w:val="0"/>
          <w:iCs w:val="0"/>
          <w:caps w:val="0"/>
          <w:color w:val="000000"/>
          <w:spacing w:val="0"/>
          <w:sz w:val="24"/>
          <w:szCs w:val="24"/>
        </w:rPr>
      </w:pPr>
      <w:r>
        <w:rPr>
          <w:rFonts w:hint="eastAsia" w:ascii="宋体" w:hAnsi="宋体" w:eastAsia="宋体" w:cs="宋体"/>
          <w:i w:val="0"/>
          <w:iCs w:val="0"/>
          <w:caps w:val="0"/>
          <w:color w:val="000000"/>
          <w:spacing w:val="-2"/>
          <w:sz w:val="24"/>
          <w:szCs w:val="24"/>
          <w:bdr w:val="none" w:color="auto" w:sz="0" w:space="0"/>
          <w:shd w:val="clear" w:fill="FFFFFF"/>
        </w:rPr>
        <w:t>港澳台居民提供港澳台居民居住证或港澳居民来往内地通行证、五年有效台湾居民来往大陆通行证。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000000"/>
          <w:spacing w:val="0"/>
          <w:sz w:val="24"/>
          <w:szCs w:val="24"/>
          <w:bdr w:val="none" w:color="auto" w:sz="0" w:space="0"/>
          <w:shd w:val="clear" w:fill="FFFFFF"/>
        </w:rPr>
        <w:t>学历证书原件（仅社会人员提供）或在籍学习证明原件（仅应届毕业生提供，由所在学校学籍管理部门出具）。港澳台学历还应同时提供教育部留学服务中心出具的《港澳台学历认证书》原件，国外学历还应同时提供教育部留学服务中心出具的《国外学历认证书》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4.</w:t>
      </w:r>
      <w:r>
        <w:rPr>
          <w:rFonts w:hint="eastAsia" w:ascii="宋体" w:hAnsi="宋体" w:eastAsia="宋体" w:cs="宋体"/>
          <w:i w:val="0"/>
          <w:iCs w:val="0"/>
          <w:caps w:val="0"/>
          <w:color w:val="000000"/>
          <w:spacing w:val="0"/>
          <w:sz w:val="24"/>
          <w:szCs w:val="24"/>
          <w:bdr w:val="none" w:color="auto" w:sz="0" w:space="0"/>
          <w:shd w:val="clear" w:fill="FFFFFF"/>
        </w:rPr>
        <w:t>普通话水平测试等级证书原件。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5.</w:t>
      </w:r>
      <w:r>
        <w:rPr>
          <w:rFonts w:hint="eastAsia" w:ascii="宋体" w:hAnsi="宋体" w:eastAsia="宋体" w:cs="宋体"/>
          <w:i w:val="0"/>
          <w:iCs w:val="0"/>
          <w:caps w:val="0"/>
          <w:color w:val="000000"/>
          <w:spacing w:val="0"/>
          <w:sz w:val="24"/>
          <w:szCs w:val="24"/>
          <w:bdr w:val="none" w:color="auto" w:sz="0" w:space="0"/>
          <w:shd w:val="clear" w:fill="FFFFFF"/>
        </w:rPr>
        <w:t>《中小学教师资格考试合格证明》（仅参加中小学教师资格考试的人员提供，申请人网上自行下载打印）或《师范生教师职业能力证书》（仅符合免试认定改革范围内的教育类研究生和师范生提供）。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6.</w:t>
      </w:r>
      <w:r>
        <w:rPr>
          <w:rFonts w:hint="eastAsia" w:ascii="宋体" w:hAnsi="宋体" w:eastAsia="宋体" w:cs="宋体"/>
          <w:i w:val="0"/>
          <w:iCs w:val="0"/>
          <w:caps w:val="0"/>
          <w:color w:val="000000"/>
          <w:spacing w:val="0"/>
          <w:sz w:val="24"/>
          <w:szCs w:val="24"/>
          <w:bdr w:val="none" w:color="auto" w:sz="0" w:space="0"/>
          <w:shd w:val="clear" w:fill="FFFFFF"/>
        </w:rPr>
        <w:t>《湖南省教师资格认定体检表》原件（正反打印）。体检时间为</w:t>
      </w:r>
      <w:r>
        <w:rPr>
          <w:rFonts w:hint="default" w:ascii="Times New Roman" w:hAnsi="Times New Roman" w:cs="Times New Roman"/>
          <w:i w:val="0"/>
          <w:iCs w:val="0"/>
          <w:caps w:val="0"/>
          <w:color w:val="000000"/>
          <w:spacing w:val="0"/>
          <w:sz w:val="24"/>
          <w:szCs w:val="24"/>
          <w:bdr w:val="none" w:color="auto" w:sz="0" w:space="0"/>
          <w:shd w:val="clear" w:fill="FFFFFF"/>
        </w:rPr>
        <w:t>6</w:t>
      </w:r>
      <w:r>
        <w:rPr>
          <w:rFonts w:hint="eastAsia" w:ascii="宋体" w:hAnsi="宋体" w:eastAsia="宋体" w:cs="宋体"/>
          <w:i w:val="0"/>
          <w:iCs w:val="0"/>
          <w:caps w:val="0"/>
          <w:color w:val="000000"/>
          <w:spacing w:val="0"/>
          <w:sz w:val="24"/>
          <w:szCs w:val="24"/>
          <w:bdr w:val="none" w:color="auto" w:sz="0" w:space="0"/>
          <w:shd w:val="clear" w:fill="FFFFFF"/>
        </w:rPr>
        <w:t>月</w:t>
      </w:r>
      <w:r>
        <w:rPr>
          <w:rFonts w:hint="default" w:ascii="Times New Roman" w:hAnsi="Times New Roman" w:cs="Times New Roman"/>
          <w:i w:val="0"/>
          <w:iCs w:val="0"/>
          <w:caps w:val="0"/>
          <w:color w:val="000000"/>
          <w:spacing w:val="0"/>
          <w:sz w:val="24"/>
          <w:szCs w:val="24"/>
          <w:bdr w:val="none" w:color="auto" w:sz="0" w:space="0"/>
          <w:shd w:val="clear" w:fill="FFFFFF"/>
        </w:rPr>
        <w:t>8</w:t>
      </w:r>
      <w:r>
        <w:rPr>
          <w:rFonts w:hint="eastAsia" w:ascii="宋体" w:hAnsi="宋体" w:eastAsia="宋体" w:cs="宋体"/>
          <w:i w:val="0"/>
          <w:iCs w:val="0"/>
          <w:caps w:val="0"/>
          <w:color w:val="000000"/>
          <w:spacing w:val="0"/>
          <w:sz w:val="24"/>
          <w:szCs w:val="24"/>
          <w:bdr w:val="none" w:color="auto" w:sz="0" w:space="0"/>
          <w:shd w:val="clear" w:fill="FFFFFF"/>
        </w:rPr>
        <w:t>日至</w:t>
      </w:r>
      <w:r>
        <w:rPr>
          <w:rFonts w:hint="default" w:ascii="Times New Roman" w:hAnsi="Times New Roman" w:cs="Times New Roman"/>
          <w:i w:val="0"/>
          <w:iCs w:val="0"/>
          <w:caps w:val="0"/>
          <w:color w:val="000000"/>
          <w:spacing w:val="0"/>
          <w:sz w:val="24"/>
          <w:szCs w:val="24"/>
          <w:bdr w:val="none" w:color="auto" w:sz="0" w:space="0"/>
          <w:shd w:val="clear" w:fill="FFFFFF"/>
        </w:rPr>
        <w:t>6</w:t>
      </w:r>
      <w:r>
        <w:rPr>
          <w:rFonts w:hint="eastAsia" w:ascii="宋体" w:hAnsi="宋体" w:eastAsia="宋体" w:cs="宋体"/>
          <w:i w:val="0"/>
          <w:iCs w:val="0"/>
          <w:caps w:val="0"/>
          <w:color w:val="000000"/>
          <w:spacing w:val="0"/>
          <w:sz w:val="24"/>
          <w:szCs w:val="24"/>
          <w:bdr w:val="none" w:color="auto" w:sz="0" w:space="0"/>
          <w:shd w:val="clear" w:fill="FFFFFF"/>
        </w:rPr>
        <w:t>月</w:t>
      </w:r>
      <w:r>
        <w:rPr>
          <w:rFonts w:hint="default" w:ascii="Times New Roman" w:hAnsi="Times New Roman" w:cs="Times New Roman"/>
          <w:i w:val="0"/>
          <w:iCs w:val="0"/>
          <w:caps w:val="0"/>
          <w:color w:val="000000"/>
          <w:spacing w:val="0"/>
          <w:sz w:val="24"/>
          <w:szCs w:val="24"/>
          <w:bdr w:val="none" w:color="auto" w:sz="0" w:space="0"/>
          <w:shd w:val="clear" w:fill="FFFFFF"/>
        </w:rPr>
        <w:t>28</w:t>
      </w:r>
      <w:r>
        <w:rPr>
          <w:rFonts w:hint="eastAsia" w:ascii="宋体" w:hAnsi="宋体" w:eastAsia="宋体" w:cs="宋体"/>
          <w:i w:val="0"/>
          <w:iCs w:val="0"/>
          <w:caps w:val="0"/>
          <w:color w:val="000000"/>
          <w:spacing w:val="0"/>
          <w:sz w:val="24"/>
          <w:szCs w:val="24"/>
          <w:bdr w:val="none" w:color="auto" w:sz="0" w:space="0"/>
          <w:shd w:val="clear" w:fill="FFFFFF"/>
        </w:rPr>
        <w:t>日。体检表须有本人照片并加盖骑缝章、检查结论及体检医院公章；未签署体检结论的视为无效。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7.</w:t>
      </w:r>
      <w:r>
        <w:rPr>
          <w:rFonts w:hint="eastAsia" w:ascii="宋体" w:hAnsi="宋体" w:eastAsia="宋体" w:cs="宋体"/>
          <w:i w:val="0"/>
          <w:iCs w:val="0"/>
          <w:caps w:val="0"/>
          <w:color w:val="000000"/>
          <w:spacing w:val="0"/>
          <w:sz w:val="24"/>
          <w:szCs w:val="24"/>
          <w:bdr w:val="none" w:color="auto" w:sz="0" w:space="0"/>
          <w:shd w:val="clear" w:fill="FFFFFF"/>
        </w:rPr>
        <w:t>无犯罪记录证明原件（仅港澳台居民申请人提供）。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8.</w:t>
      </w:r>
      <w:r>
        <w:rPr>
          <w:rFonts w:hint="eastAsia" w:ascii="宋体" w:hAnsi="宋体" w:eastAsia="宋体" w:cs="宋体"/>
          <w:i w:val="0"/>
          <w:iCs w:val="0"/>
          <w:caps w:val="0"/>
          <w:color w:val="000000"/>
          <w:spacing w:val="0"/>
          <w:sz w:val="24"/>
          <w:szCs w:val="24"/>
          <w:bdr w:val="none" w:color="auto" w:sz="0" w:space="0"/>
          <w:shd w:val="clear" w:fill="FFFFFF"/>
        </w:rPr>
        <w:t>一张一寸近期白底免冠证件照，须与在中国教师资格网注册申报上传的照片一致，照片背面请写明网报号及姓名。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24"/>
          <w:szCs w:val="24"/>
        </w:rPr>
      </w:pPr>
      <w:r>
        <w:rPr>
          <w:rFonts w:hint="eastAsia" w:ascii="楷体" w:hAnsi="楷体" w:eastAsia="楷体" w:cs="楷体"/>
          <w:b w:val="0"/>
          <w:bCs w:val="0"/>
          <w:i w:val="0"/>
          <w:iCs w:val="0"/>
          <w:caps w:val="0"/>
          <w:color w:val="000000"/>
          <w:spacing w:val="0"/>
          <w:sz w:val="24"/>
          <w:szCs w:val="24"/>
          <w:bdr w:val="none" w:color="auto" w:sz="0" w:space="0"/>
          <w:shd w:val="clear" w:fill="FFFFFF"/>
        </w:rPr>
        <w:t>（二）有关说明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上述材料种类中，第</w:t>
      </w:r>
      <w:r>
        <w:rPr>
          <w:rFonts w:hint="default" w:ascii="Times New Roman" w:hAnsi="Times New Roman" w:cs="Times New Roman"/>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000000"/>
          <w:spacing w:val="0"/>
          <w:sz w:val="24"/>
          <w:szCs w:val="24"/>
          <w:bdr w:val="none" w:color="auto" w:sz="0" w:space="0"/>
          <w:shd w:val="clear" w:fill="FFFFFF"/>
        </w:rPr>
        <w:t>项提供原件进行现场查验，提交复印件；第</w:t>
      </w:r>
      <w:r>
        <w:rPr>
          <w:rFonts w:hint="default" w:ascii="Times New Roman" w:hAnsi="Times New Roman" w:cs="Times New Roman"/>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rPr>
        <w:t>5</w:t>
      </w:r>
      <w:r>
        <w:rPr>
          <w:rFonts w:hint="eastAsia" w:ascii="宋体" w:hAnsi="宋体" w:eastAsia="宋体" w:cs="宋体"/>
          <w:i w:val="0"/>
          <w:iCs w:val="0"/>
          <w:caps w:val="0"/>
          <w:color w:val="000000"/>
          <w:spacing w:val="0"/>
          <w:sz w:val="24"/>
          <w:szCs w:val="24"/>
          <w:bdr w:val="none" w:color="auto" w:sz="0" w:space="0"/>
          <w:shd w:val="clear" w:fill="FFFFFF"/>
        </w:rPr>
        <w:t>项经“教师资格管理信息系统”电子信息校验通过的，无须提交纸质材料，若校验不通过或其它系统暂无法校验的则需提供有关证件（证明）的原件进行现场查验，并提交复印件；第</w:t>
      </w:r>
      <w:r>
        <w:rPr>
          <w:rFonts w:hint="default" w:ascii="Times New Roman" w:hAnsi="Times New Roman" w:cs="Times New Roman"/>
          <w:i w:val="0"/>
          <w:iCs w:val="0"/>
          <w:caps w:val="0"/>
          <w:color w:val="000000"/>
          <w:spacing w:val="0"/>
          <w:sz w:val="24"/>
          <w:szCs w:val="24"/>
          <w:bdr w:val="none" w:color="auto" w:sz="0" w:space="0"/>
          <w:shd w:val="clear" w:fill="FFFFFF"/>
        </w:rPr>
        <w:t>6</w:t>
      </w:r>
      <w:r>
        <w:rPr>
          <w:rFonts w:hint="eastAsia" w:ascii="宋体" w:hAnsi="宋体" w:eastAsia="宋体" w:cs="宋体"/>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rPr>
        <w:t>8</w:t>
      </w:r>
      <w:r>
        <w:rPr>
          <w:rFonts w:hint="eastAsia" w:ascii="宋体" w:hAnsi="宋体" w:eastAsia="宋体" w:cs="宋体"/>
          <w:i w:val="0"/>
          <w:iCs w:val="0"/>
          <w:caps w:val="0"/>
          <w:color w:val="000000"/>
          <w:spacing w:val="0"/>
          <w:sz w:val="24"/>
          <w:szCs w:val="24"/>
          <w:bdr w:val="none" w:color="auto" w:sz="0" w:space="0"/>
          <w:shd w:val="clear" w:fill="FFFFFF"/>
        </w:rPr>
        <w:t>项材料按要求提交原件。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2.</w:t>
      </w:r>
      <w:r>
        <w:rPr>
          <w:rFonts w:hint="eastAsia" w:ascii="宋体" w:hAnsi="宋体" w:eastAsia="宋体" w:cs="宋体"/>
          <w:i w:val="0"/>
          <w:iCs w:val="0"/>
          <w:caps w:val="0"/>
          <w:color w:val="000000"/>
          <w:spacing w:val="0"/>
          <w:sz w:val="24"/>
          <w:szCs w:val="24"/>
          <w:bdr w:val="none" w:color="auto" w:sz="0" w:space="0"/>
          <w:shd w:val="clear" w:fill="FFFFFF"/>
        </w:rPr>
        <w:t>申请人要对照材料种类清单及有关说明，根据自己的实际情况准备好相关材料，部分需要提交原件或复印件的材料，请按种类清单所列顺序装订（照片除外）。</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both"/>
        <w:rPr>
          <w:rFonts w:hint="default" w:ascii="Times New Roman" w:hAnsi="Times New Roman" w:cs="Times New Roman"/>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附件</w:t>
      </w:r>
      <w:r>
        <w:rPr>
          <w:rFonts w:hint="default" w:ascii="Times New Roman" w:hAnsi="Times New Roman" w:cs="Times New Roman"/>
          <w:i w:val="0"/>
          <w:iCs w:val="0"/>
          <w:caps w:val="0"/>
          <w:color w:val="000000"/>
          <w:spacing w:val="0"/>
          <w:sz w:val="24"/>
          <w:szCs w:val="24"/>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方正小标宋_GBK" w:hAnsi="方正小标宋_GBK" w:eastAsia="方正小标宋_GBK" w:cs="方正小标宋_GBK"/>
          <w:i w:val="0"/>
          <w:iCs w:val="0"/>
          <w:caps w:val="0"/>
          <w:color w:val="00000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方正小标宋_GBK" w:hAnsi="方正小标宋_GBK" w:eastAsia="方正小标宋_GBK" w:cs="方正小标宋_GBK"/>
          <w:i w:val="0"/>
          <w:iCs w:val="0"/>
          <w:caps w:val="0"/>
          <w:color w:val="000000"/>
          <w:spacing w:val="0"/>
          <w:sz w:val="24"/>
          <w:szCs w:val="24"/>
          <w:bdr w:val="none" w:color="auto" w:sz="0" w:space="0"/>
          <w:shd w:val="clear" w:fill="FFFFFF"/>
        </w:rPr>
        <w:t>湖南省教师资格认定体检表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right"/>
        <w:rPr>
          <w:rFonts w:hint="default" w:ascii="Times New Roman" w:hAnsi="Times New Roman" w:cs="Times New Roman"/>
          <w:i w:val="0"/>
          <w:iCs w:val="0"/>
          <w:caps w:val="0"/>
          <w:color w:val="000000"/>
          <w:spacing w:val="0"/>
          <w:sz w:val="24"/>
          <w:szCs w:val="24"/>
        </w:rPr>
      </w:pPr>
      <w:r>
        <w:rPr>
          <w:rFonts w:ascii="黑体" w:hAnsi="宋体" w:eastAsia="黑体" w:cs="黑体"/>
          <w:i w:val="0"/>
          <w:iCs w:val="0"/>
          <w:caps w:val="0"/>
          <w:color w:val="000000"/>
          <w:spacing w:val="0"/>
          <w:sz w:val="24"/>
          <w:szCs w:val="24"/>
          <w:bdr w:val="none" w:color="auto" w:sz="0" w:space="0"/>
          <w:shd w:val="clear" w:fill="FFFFFF"/>
        </w:rPr>
        <w:t>第</w:t>
      </w:r>
      <w:r>
        <w:rPr>
          <w:rFonts w:hint="eastAsia" w:ascii="黑体" w:hAnsi="宋体" w:eastAsia="黑体" w:cs="黑体"/>
          <w:i w:val="0"/>
          <w:iCs w:val="0"/>
          <w:caps w:val="0"/>
          <w:color w:val="000000"/>
          <w:spacing w:val="0"/>
          <w:sz w:val="24"/>
          <w:szCs w:val="24"/>
          <w:bdr w:val="none" w:color="auto" w:sz="0" w:space="0"/>
          <w:shd w:val="clear" w:fill="FFFFFF"/>
        </w:rPr>
        <w:t>    号</w:t>
      </w:r>
    </w:p>
    <w:tbl>
      <w:tblPr>
        <w:tblW w:w="94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Layout w:type="autofit"/>
        <w:tblCellMar>
          <w:top w:w="0" w:type="dxa"/>
          <w:left w:w="0" w:type="dxa"/>
          <w:bottom w:w="0" w:type="dxa"/>
          <w:right w:w="0" w:type="dxa"/>
        </w:tblCellMar>
      </w:tblPr>
      <w:tblGrid>
        <w:gridCol w:w="675"/>
        <w:gridCol w:w="879"/>
        <w:gridCol w:w="297"/>
        <w:gridCol w:w="88"/>
        <w:gridCol w:w="333"/>
        <w:gridCol w:w="623"/>
        <w:gridCol w:w="205"/>
        <w:gridCol w:w="271"/>
        <w:gridCol w:w="122"/>
        <w:gridCol w:w="348"/>
        <w:gridCol w:w="94"/>
        <w:gridCol w:w="76"/>
        <w:gridCol w:w="410"/>
        <w:gridCol w:w="405"/>
        <w:gridCol w:w="283"/>
        <w:gridCol w:w="141"/>
        <w:gridCol w:w="372"/>
        <w:gridCol w:w="194"/>
        <w:gridCol w:w="656"/>
        <w:gridCol w:w="369"/>
        <w:gridCol w:w="209"/>
        <w:gridCol w:w="530"/>
        <w:gridCol w:w="89"/>
        <w:gridCol w:w="429"/>
        <w:gridCol w:w="589"/>
        <w:gridCol w:w="23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640" w:hRule="atLeast"/>
          <w:jc w:val="center"/>
        </w:trPr>
        <w:tc>
          <w:tcPr>
            <w:tcW w:w="1083" w:type="dxa"/>
            <w:gridSpan w:val="2"/>
            <w:tcBorders>
              <w:top w:val="single" w:color="000000" w:sz="6" w:space="0"/>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姓    名</w:t>
            </w:r>
          </w:p>
        </w:tc>
        <w:tc>
          <w:tcPr>
            <w:tcW w:w="1191" w:type="dxa"/>
            <w:gridSpan w:val="3"/>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77" w:type="dxa"/>
            <w:gridSpan w:val="4"/>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性别</w:t>
            </w:r>
          </w:p>
        </w:tc>
        <w:tc>
          <w:tcPr>
            <w:tcW w:w="691" w:type="dxa"/>
            <w:gridSpan w:val="3"/>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793" w:type="dxa"/>
            <w:gridSpan w:val="3"/>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婚否</w:t>
            </w:r>
          </w:p>
        </w:tc>
        <w:tc>
          <w:tcPr>
            <w:tcW w:w="1068" w:type="dxa"/>
            <w:gridSpan w:val="4"/>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806" w:type="dxa"/>
            <w:gridSpan w:val="3"/>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民族</w:t>
            </w:r>
          </w:p>
        </w:tc>
        <w:tc>
          <w:tcPr>
            <w:tcW w:w="806" w:type="dxa"/>
            <w:gridSpan w:val="3"/>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restart"/>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半身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脱帽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正面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相片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640" w:hRule="atLeast"/>
          <w:jc w:val="center"/>
        </w:trPr>
        <w:tc>
          <w:tcPr>
            <w:tcW w:w="1083" w:type="dxa"/>
            <w:gridSpan w:val="2"/>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出生年月</w:t>
            </w:r>
          </w:p>
        </w:tc>
        <w:tc>
          <w:tcPr>
            <w:tcW w:w="1191"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77"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身份证号</w:t>
            </w:r>
          </w:p>
        </w:tc>
        <w:tc>
          <w:tcPr>
            <w:tcW w:w="4164" w:type="dxa"/>
            <w:gridSpan w:val="16"/>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640" w:hRule="atLeast"/>
          <w:jc w:val="center"/>
        </w:trPr>
        <w:tc>
          <w:tcPr>
            <w:tcW w:w="1083" w:type="dxa"/>
            <w:gridSpan w:val="2"/>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最高学历</w:t>
            </w:r>
          </w:p>
        </w:tc>
        <w:tc>
          <w:tcPr>
            <w:tcW w:w="1191"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77"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工作单位</w:t>
            </w:r>
          </w:p>
        </w:tc>
        <w:tc>
          <w:tcPr>
            <w:tcW w:w="1484" w:type="dxa"/>
            <w:gridSpan w:val="6"/>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68"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所在地</w:t>
            </w:r>
          </w:p>
        </w:tc>
        <w:tc>
          <w:tcPr>
            <w:tcW w:w="1612" w:type="dxa"/>
            <w:gridSpan w:val="6"/>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640" w:hRule="atLeast"/>
          <w:jc w:val="center"/>
        </w:trPr>
        <w:tc>
          <w:tcPr>
            <w:tcW w:w="1083" w:type="dxa"/>
            <w:gridSpan w:val="2"/>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现住所及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通讯地址</w:t>
            </w:r>
          </w:p>
        </w:tc>
        <w:tc>
          <w:tcPr>
            <w:tcW w:w="3752" w:type="dxa"/>
            <w:gridSpan w:val="1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68"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申请资格种类</w:t>
            </w:r>
          </w:p>
        </w:tc>
        <w:tc>
          <w:tcPr>
            <w:tcW w:w="1612" w:type="dxa"/>
            <w:gridSpan w:val="6"/>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single" w:color="000000" w:sz="6" w:space="0"/>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806" w:hRule="atLeast"/>
          <w:jc w:val="center"/>
        </w:trPr>
        <w:tc>
          <w:tcPr>
            <w:tcW w:w="4042" w:type="dxa"/>
            <w:gridSpan w:val="12"/>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既往病史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（须明确标明肝炎、结核、皮肤病、性传播疾病、精神病、其他，并受检者确认签字）</w:t>
            </w:r>
          </w:p>
        </w:tc>
        <w:tc>
          <w:tcPr>
            <w:tcW w:w="5395" w:type="dxa"/>
            <w:gridSpan w:val="1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受检者签名：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567" w:hRule="atLeast"/>
          <w:jc w:val="center"/>
        </w:trPr>
        <w:tc>
          <w:tcPr>
            <w:tcW w:w="1833" w:type="dxa"/>
            <w:gridSpan w:val="3"/>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家族病史</w:t>
            </w:r>
          </w:p>
        </w:tc>
        <w:tc>
          <w:tcPr>
            <w:tcW w:w="7604" w:type="dxa"/>
            <w:gridSpan w:val="2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restart"/>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科</w:t>
            </w:r>
          </w:p>
        </w:tc>
        <w:tc>
          <w:tcPr>
            <w:tcW w:w="660" w:type="dxa"/>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眼</w:t>
            </w:r>
          </w:p>
        </w:tc>
        <w:tc>
          <w:tcPr>
            <w:tcW w:w="892" w:type="dxa"/>
            <w:gridSpan w:val="2"/>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视力</w:t>
            </w:r>
          </w:p>
        </w:tc>
        <w:tc>
          <w:tcPr>
            <w:tcW w:w="1376"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右</w:t>
            </w:r>
          </w:p>
        </w:tc>
        <w:tc>
          <w:tcPr>
            <w:tcW w:w="691" w:type="dxa"/>
            <w:gridSpan w:val="3"/>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矫正视力</w:t>
            </w:r>
          </w:p>
        </w:tc>
        <w:tc>
          <w:tcPr>
            <w:tcW w:w="1193"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右</w:t>
            </w:r>
          </w:p>
        </w:tc>
        <w:tc>
          <w:tcPr>
            <w:tcW w:w="1083" w:type="dxa"/>
            <w:gridSpan w:val="4"/>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辩色力</w:t>
            </w:r>
          </w:p>
        </w:tc>
        <w:tc>
          <w:tcPr>
            <w:tcW w:w="1197" w:type="dxa"/>
            <w:gridSpan w:val="4"/>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restart"/>
            <w:tcBorders>
              <w:top w:val="nil"/>
              <w:left w:val="nil"/>
              <w:bottom w:val="single" w:color="000000" w:sz="6" w:space="0"/>
              <w:right w:val="single" w:color="000000" w:sz="6" w:space="0"/>
            </w:tcBorders>
            <w:shd w:val="clear" w:color="auto" w:fill="CED7E7"/>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660" w:type="dxa"/>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892" w:type="dxa"/>
            <w:gridSpan w:val="2"/>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376"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左</w:t>
            </w:r>
          </w:p>
        </w:tc>
        <w:tc>
          <w:tcPr>
            <w:tcW w:w="691" w:type="dxa"/>
            <w:gridSpan w:val="3"/>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193"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左</w:t>
            </w:r>
          </w:p>
        </w:tc>
        <w:tc>
          <w:tcPr>
            <w:tcW w:w="1083" w:type="dxa"/>
            <w:gridSpan w:val="4"/>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197" w:type="dxa"/>
            <w:gridSpan w:val="4"/>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660" w:type="dxa"/>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892" w:type="dxa"/>
            <w:gridSpan w:val="2"/>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砂眼</w:t>
            </w:r>
          </w:p>
        </w:tc>
        <w:tc>
          <w:tcPr>
            <w:tcW w:w="1376"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右</w:t>
            </w:r>
          </w:p>
        </w:tc>
        <w:tc>
          <w:tcPr>
            <w:tcW w:w="691" w:type="dxa"/>
            <w:gridSpan w:val="3"/>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眼疾</w:t>
            </w:r>
          </w:p>
        </w:tc>
        <w:tc>
          <w:tcPr>
            <w:tcW w:w="3473" w:type="dxa"/>
            <w:gridSpan w:val="13"/>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660" w:type="dxa"/>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892" w:type="dxa"/>
            <w:gridSpan w:val="2"/>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376"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左</w:t>
            </w:r>
          </w:p>
        </w:tc>
        <w:tc>
          <w:tcPr>
            <w:tcW w:w="691" w:type="dxa"/>
            <w:gridSpan w:val="3"/>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3473" w:type="dxa"/>
            <w:gridSpan w:val="13"/>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660" w:type="dxa"/>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耳</w:t>
            </w:r>
          </w:p>
        </w:tc>
        <w:tc>
          <w:tcPr>
            <w:tcW w:w="892" w:type="dxa"/>
            <w:gridSpan w:val="2"/>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听力</w:t>
            </w:r>
          </w:p>
        </w:tc>
        <w:tc>
          <w:tcPr>
            <w:tcW w:w="1376"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右    公尺</w:t>
            </w:r>
          </w:p>
        </w:tc>
        <w:tc>
          <w:tcPr>
            <w:tcW w:w="691" w:type="dxa"/>
            <w:gridSpan w:val="3"/>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耳疾</w:t>
            </w:r>
          </w:p>
        </w:tc>
        <w:tc>
          <w:tcPr>
            <w:tcW w:w="3473" w:type="dxa"/>
            <w:gridSpan w:val="13"/>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660" w:type="dxa"/>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892" w:type="dxa"/>
            <w:gridSpan w:val="2"/>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376"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左    公尺</w:t>
            </w:r>
          </w:p>
        </w:tc>
        <w:tc>
          <w:tcPr>
            <w:tcW w:w="691" w:type="dxa"/>
            <w:gridSpan w:val="3"/>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3473" w:type="dxa"/>
            <w:gridSpan w:val="13"/>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660" w:type="dxa"/>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鼻</w:t>
            </w:r>
          </w:p>
        </w:tc>
        <w:tc>
          <w:tcPr>
            <w:tcW w:w="892"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嗅觉</w:t>
            </w:r>
          </w:p>
        </w:tc>
        <w:tc>
          <w:tcPr>
            <w:tcW w:w="1376"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691"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鼻及鼻窦疾病</w:t>
            </w:r>
          </w:p>
        </w:tc>
        <w:tc>
          <w:tcPr>
            <w:tcW w:w="3473" w:type="dxa"/>
            <w:gridSpan w:val="1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660" w:type="dxa"/>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咽喉</w:t>
            </w:r>
          </w:p>
        </w:tc>
        <w:tc>
          <w:tcPr>
            <w:tcW w:w="2270" w:type="dxa"/>
            <w:gridSpan w:val="7"/>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691"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唇腭</w:t>
            </w:r>
          </w:p>
        </w:tc>
        <w:tc>
          <w:tcPr>
            <w:tcW w:w="1193"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83"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口吃</w:t>
            </w:r>
          </w:p>
        </w:tc>
        <w:tc>
          <w:tcPr>
            <w:tcW w:w="1197"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660" w:type="dxa"/>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齿</w:t>
            </w:r>
          </w:p>
        </w:tc>
        <w:tc>
          <w:tcPr>
            <w:tcW w:w="892"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33"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龋齿</w:t>
            </w:r>
          </w:p>
        </w:tc>
        <w:tc>
          <w:tcPr>
            <w:tcW w:w="1034"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596"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缺齿</w:t>
            </w:r>
          </w:p>
        </w:tc>
        <w:tc>
          <w:tcPr>
            <w:tcW w:w="597"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83"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齿槽脓漏</w:t>
            </w:r>
          </w:p>
        </w:tc>
        <w:tc>
          <w:tcPr>
            <w:tcW w:w="1197"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其他</w:t>
            </w:r>
          </w:p>
        </w:tc>
        <w:tc>
          <w:tcPr>
            <w:tcW w:w="5682" w:type="dxa"/>
            <w:gridSpan w:val="2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restart"/>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科</w:t>
            </w: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身高</w:t>
            </w:r>
          </w:p>
        </w:tc>
        <w:tc>
          <w:tcPr>
            <w:tcW w:w="1000"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right"/>
              <w:rPr>
                <w:rFonts w:hint="default" w:ascii="Times New Roman" w:hAnsi="Times New Roman" w:cs="Times New Roman"/>
                <w:sz w:val="24"/>
                <w:szCs w:val="24"/>
              </w:rPr>
            </w:pPr>
            <w:r>
              <w:rPr>
                <w:rFonts w:hint="eastAsia" w:ascii="宋体" w:hAnsi="宋体" w:eastAsia="宋体" w:cs="宋体"/>
                <w:sz w:val="24"/>
                <w:szCs w:val="24"/>
                <w:bdr w:val="none" w:color="auto" w:sz="0" w:space="0"/>
              </w:rPr>
              <w:t>cm</w:t>
            </w:r>
          </w:p>
        </w:tc>
        <w:tc>
          <w:tcPr>
            <w:tcW w:w="1001"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胸围</w:t>
            </w:r>
          </w:p>
        </w:tc>
        <w:tc>
          <w:tcPr>
            <w:tcW w:w="1001"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right"/>
              <w:rPr>
                <w:rFonts w:hint="default" w:ascii="Times New Roman" w:hAnsi="Times New Roman" w:cs="Times New Roman"/>
                <w:sz w:val="24"/>
                <w:szCs w:val="24"/>
              </w:rPr>
            </w:pPr>
            <w:r>
              <w:rPr>
                <w:rFonts w:hint="eastAsia" w:ascii="宋体" w:hAnsi="宋体" w:eastAsia="宋体" w:cs="宋体"/>
                <w:sz w:val="24"/>
                <w:szCs w:val="24"/>
                <w:bdr w:val="none" w:color="auto" w:sz="0" w:space="0"/>
              </w:rPr>
              <w:t>cm</w:t>
            </w:r>
          </w:p>
        </w:tc>
        <w:tc>
          <w:tcPr>
            <w:tcW w:w="1333" w:type="dxa"/>
            <w:gridSpan w:val="5"/>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皮肤</w:t>
            </w:r>
          </w:p>
        </w:tc>
        <w:tc>
          <w:tcPr>
            <w:tcW w:w="1347" w:type="dxa"/>
            <w:gridSpan w:val="5"/>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体重</w:t>
            </w:r>
          </w:p>
        </w:tc>
        <w:tc>
          <w:tcPr>
            <w:tcW w:w="1000"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right"/>
              <w:rPr>
                <w:rFonts w:hint="default" w:ascii="Times New Roman" w:hAnsi="Times New Roman" w:cs="Times New Roman"/>
                <w:sz w:val="24"/>
                <w:szCs w:val="24"/>
              </w:rPr>
            </w:pPr>
            <w:r>
              <w:rPr>
                <w:rFonts w:hint="eastAsia" w:ascii="宋体" w:hAnsi="宋体" w:eastAsia="宋体" w:cs="宋体"/>
                <w:sz w:val="24"/>
                <w:szCs w:val="24"/>
                <w:bdr w:val="none" w:color="auto" w:sz="0" w:space="0"/>
              </w:rPr>
              <w:t>kg</w:t>
            </w:r>
          </w:p>
        </w:tc>
        <w:tc>
          <w:tcPr>
            <w:tcW w:w="1001"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呼吸差</w:t>
            </w:r>
          </w:p>
        </w:tc>
        <w:tc>
          <w:tcPr>
            <w:tcW w:w="1001"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right"/>
              <w:rPr>
                <w:rFonts w:hint="default" w:ascii="Times New Roman" w:hAnsi="Times New Roman" w:cs="Times New Roman"/>
                <w:sz w:val="24"/>
                <w:szCs w:val="24"/>
              </w:rPr>
            </w:pPr>
            <w:r>
              <w:rPr>
                <w:rFonts w:hint="eastAsia" w:ascii="宋体" w:hAnsi="宋体" w:eastAsia="宋体" w:cs="宋体"/>
                <w:sz w:val="24"/>
                <w:szCs w:val="24"/>
                <w:bdr w:val="none" w:color="auto" w:sz="0" w:space="0"/>
              </w:rPr>
              <w:t>cm</w:t>
            </w:r>
          </w:p>
        </w:tc>
        <w:tc>
          <w:tcPr>
            <w:tcW w:w="1333" w:type="dxa"/>
            <w:gridSpan w:val="5"/>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347" w:type="dxa"/>
            <w:gridSpan w:val="5"/>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淋巴</w:t>
            </w:r>
          </w:p>
        </w:tc>
        <w:tc>
          <w:tcPr>
            <w:tcW w:w="1000"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01"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甲状腺</w:t>
            </w:r>
          </w:p>
        </w:tc>
        <w:tc>
          <w:tcPr>
            <w:tcW w:w="1001"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333"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脊柱</w:t>
            </w:r>
          </w:p>
        </w:tc>
        <w:tc>
          <w:tcPr>
            <w:tcW w:w="1347"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四肢</w:t>
            </w:r>
          </w:p>
        </w:tc>
        <w:tc>
          <w:tcPr>
            <w:tcW w:w="1000"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01" w:type="dxa"/>
            <w:gridSpan w:val="4"/>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关节</w:t>
            </w:r>
          </w:p>
        </w:tc>
        <w:tc>
          <w:tcPr>
            <w:tcW w:w="1001"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333"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平嗻足</w:t>
            </w:r>
          </w:p>
        </w:tc>
        <w:tc>
          <w:tcPr>
            <w:tcW w:w="1347"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泌尿生殖器</w:t>
            </w:r>
          </w:p>
        </w:tc>
        <w:tc>
          <w:tcPr>
            <w:tcW w:w="3002" w:type="dxa"/>
            <w:gridSpan w:val="1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333"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肛门</w:t>
            </w:r>
          </w:p>
        </w:tc>
        <w:tc>
          <w:tcPr>
            <w:tcW w:w="1347"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39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疝</w:t>
            </w:r>
          </w:p>
        </w:tc>
        <w:tc>
          <w:tcPr>
            <w:tcW w:w="2209" w:type="dxa"/>
            <w:gridSpan w:val="9"/>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793"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其他</w:t>
            </w:r>
          </w:p>
        </w:tc>
        <w:tc>
          <w:tcPr>
            <w:tcW w:w="2680" w:type="dxa"/>
            <w:gridSpan w:val="10"/>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567" w:hRule="atLeast"/>
          <w:jc w:val="center"/>
        </w:trPr>
        <w:tc>
          <w:tcPr>
            <w:tcW w:w="423" w:type="dxa"/>
            <w:vMerge w:val="restart"/>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内科</w:t>
            </w: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血压</w:t>
            </w:r>
          </w:p>
        </w:tc>
        <w:tc>
          <w:tcPr>
            <w:tcW w:w="2515" w:type="dxa"/>
            <w:gridSpan w:val="10"/>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毫米汞柱</w:t>
            </w:r>
          </w:p>
        </w:tc>
        <w:tc>
          <w:tcPr>
            <w:tcW w:w="1037"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脉搏</w:t>
            </w:r>
          </w:p>
        </w:tc>
        <w:tc>
          <w:tcPr>
            <w:tcW w:w="2130" w:type="dxa"/>
            <w:gridSpan w:val="7"/>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restart"/>
            <w:tcBorders>
              <w:top w:val="nil"/>
              <w:left w:val="nil"/>
              <w:bottom w:val="single" w:color="000000" w:sz="6" w:space="0"/>
              <w:right w:val="single" w:color="000000" w:sz="6" w:space="0"/>
            </w:tcBorders>
            <w:shd w:val="clear" w:color="auto" w:fill="CED7E7"/>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56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发育及营养状况</w:t>
            </w:r>
          </w:p>
        </w:tc>
        <w:tc>
          <w:tcPr>
            <w:tcW w:w="2515" w:type="dxa"/>
            <w:gridSpan w:val="10"/>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37"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神经及精神</w:t>
            </w:r>
          </w:p>
        </w:tc>
        <w:tc>
          <w:tcPr>
            <w:tcW w:w="2130" w:type="dxa"/>
            <w:gridSpan w:val="7"/>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56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肺及呼吸道</w:t>
            </w:r>
          </w:p>
        </w:tc>
        <w:tc>
          <w:tcPr>
            <w:tcW w:w="2515" w:type="dxa"/>
            <w:gridSpan w:val="10"/>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037"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心脏及血管</w:t>
            </w:r>
          </w:p>
        </w:tc>
        <w:tc>
          <w:tcPr>
            <w:tcW w:w="2130" w:type="dxa"/>
            <w:gridSpan w:val="7"/>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56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腹部器官</w:t>
            </w:r>
          </w:p>
        </w:tc>
        <w:tc>
          <w:tcPr>
            <w:tcW w:w="2122" w:type="dxa"/>
            <w:gridSpan w:val="8"/>
            <w:vMerge w:val="restart"/>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992"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肝</w:t>
            </w:r>
          </w:p>
        </w:tc>
        <w:tc>
          <w:tcPr>
            <w:tcW w:w="2568" w:type="dxa"/>
            <w:gridSpan w:val="9"/>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56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2122" w:type="dxa"/>
            <w:gridSpan w:val="8"/>
            <w:vMerge w:val="continue"/>
            <w:tcBorders>
              <w:top w:val="nil"/>
              <w:left w:val="nil"/>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992"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脾</w:t>
            </w:r>
          </w:p>
        </w:tc>
        <w:tc>
          <w:tcPr>
            <w:tcW w:w="2568" w:type="dxa"/>
            <w:gridSpan w:val="9"/>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567" w:hRule="atLeast"/>
          <w:jc w:val="center"/>
        </w:trPr>
        <w:tc>
          <w:tcPr>
            <w:tcW w:w="423" w:type="dxa"/>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0"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其他</w:t>
            </w:r>
          </w:p>
        </w:tc>
        <w:tc>
          <w:tcPr>
            <w:tcW w:w="5682" w:type="dxa"/>
            <w:gridSpan w:val="2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922" w:type="dxa"/>
            <w:vMerge w:val="continue"/>
            <w:tcBorders>
              <w:top w:val="nil"/>
              <w:left w:val="nil"/>
              <w:bottom w:val="single" w:color="000000" w:sz="6" w:space="0"/>
              <w:right w:val="single" w:color="000000" w:sz="6" w:space="0"/>
            </w:tcBorders>
            <w:shd w:val="clear" w:color="auto" w:fill="CED7E7"/>
            <w:tcMar>
              <w:left w:w="57" w:type="dxa"/>
              <w:right w:w="57" w:type="dxa"/>
            </w:tcM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567" w:hRule="atLeast"/>
          <w:jc w:val="center"/>
        </w:trPr>
        <w:tc>
          <w:tcPr>
            <w:tcW w:w="1833" w:type="dxa"/>
            <w:gridSpan w:val="3"/>
            <w:vMerge w:val="restart"/>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认定幼儿园教师资格人员必填</w:t>
            </w:r>
          </w:p>
        </w:tc>
        <w:tc>
          <w:tcPr>
            <w:tcW w:w="1413"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淋球菌</w:t>
            </w:r>
          </w:p>
        </w:tc>
        <w:tc>
          <w:tcPr>
            <w:tcW w:w="1985" w:type="dxa"/>
            <w:gridSpan w:val="9"/>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842" w:type="dxa"/>
            <w:gridSpan w:val="7"/>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滴虫</w:t>
            </w:r>
          </w:p>
        </w:tc>
        <w:tc>
          <w:tcPr>
            <w:tcW w:w="2364"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567" w:hRule="atLeast"/>
          <w:jc w:val="center"/>
        </w:trPr>
        <w:tc>
          <w:tcPr>
            <w:tcW w:w="1833" w:type="dxa"/>
            <w:gridSpan w:val="3"/>
            <w:vMerge w:val="continue"/>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rPr>
                <w:rFonts w:hint="eastAsia" w:ascii="宋体"/>
                <w:sz w:val="24"/>
                <w:szCs w:val="24"/>
              </w:rPr>
            </w:pPr>
          </w:p>
        </w:tc>
        <w:tc>
          <w:tcPr>
            <w:tcW w:w="1413" w:type="dxa"/>
            <w:gridSpan w:val="5"/>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梅毒螺旋体</w:t>
            </w:r>
          </w:p>
        </w:tc>
        <w:tc>
          <w:tcPr>
            <w:tcW w:w="1985" w:type="dxa"/>
            <w:gridSpan w:val="9"/>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c>
          <w:tcPr>
            <w:tcW w:w="1842" w:type="dxa"/>
            <w:gridSpan w:val="7"/>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外阴阴道假丝酵母菌（念球菌）</w:t>
            </w:r>
          </w:p>
        </w:tc>
        <w:tc>
          <w:tcPr>
            <w:tcW w:w="2364" w:type="dxa"/>
            <w:gridSpan w:val="2"/>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1304" w:hRule="atLeast"/>
          <w:jc w:val="center"/>
        </w:trPr>
        <w:tc>
          <w:tcPr>
            <w:tcW w:w="1833" w:type="dxa"/>
            <w:gridSpan w:val="3"/>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化验检查</w:t>
            </w:r>
          </w:p>
        </w:tc>
        <w:tc>
          <w:tcPr>
            <w:tcW w:w="7604" w:type="dxa"/>
            <w:gridSpan w:val="23"/>
            <w:tcBorders>
              <w:top w:val="nil"/>
              <w:left w:val="nil"/>
              <w:bottom w:val="single" w:color="000000" w:sz="6" w:space="0"/>
              <w:right w:val="single" w:color="000000" w:sz="6" w:space="0"/>
            </w:tcBorders>
            <w:shd w:val="clear" w:color="auto" w:fill="CED7E7"/>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贴肝功能化验单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化验员（签章）：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1304" w:hRule="atLeast"/>
          <w:jc w:val="center"/>
        </w:trPr>
        <w:tc>
          <w:tcPr>
            <w:tcW w:w="1833" w:type="dxa"/>
            <w:gridSpan w:val="3"/>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胸部爱克斯线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透　　视</w:t>
            </w:r>
          </w:p>
        </w:tc>
        <w:tc>
          <w:tcPr>
            <w:tcW w:w="7604" w:type="dxa"/>
            <w:gridSpan w:val="23"/>
            <w:tcBorders>
              <w:top w:val="nil"/>
              <w:left w:val="nil"/>
              <w:bottom w:val="single" w:color="000000" w:sz="6" w:space="0"/>
              <w:right w:val="single" w:color="000000" w:sz="6" w:space="0"/>
            </w:tcBorders>
            <w:shd w:val="clear" w:color="auto" w:fill="CED7E7"/>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医师（签章）：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960" w:hRule="atLeast"/>
          <w:jc w:val="center"/>
        </w:trPr>
        <w:tc>
          <w:tcPr>
            <w:tcW w:w="1833" w:type="dxa"/>
            <w:gridSpan w:val="3"/>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其他检查</w:t>
            </w:r>
          </w:p>
        </w:tc>
        <w:tc>
          <w:tcPr>
            <w:tcW w:w="7604" w:type="dxa"/>
            <w:gridSpan w:val="23"/>
            <w:tcBorders>
              <w:top w:val="nil"/>
              <w:left w:val="nil"/>
              <w:bottom w:val="single" w:color="000000" w:sz="6" w:space="0"/>
              <w:right w:val="single" w:color="000000" w:sz="6" w:space="0"/>
            </w:tcBorders>
            <w:shd w:val="clear" w:color="auto" w:fill="CED7E7"/>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CED7E7"/>
          <w:tblCellMar>
            <w:top w:w="0" w:type="dxa"/>
            <w:left w:w="0" w:type="dxa"/>
            <w:bottom w:w="0" w:type="dxa"/>
            <w:right w:w="0" w:type="dxa"/>
          </w:tblCellMar>
        </w:tblPrEx>
        <w:trPr>
          <w:trHeight w:val="1579" w:hRule="atLeast"/>
          <w:jc w:val="center"/>
        </w:trPr>
        <w:tc>
          <w:tcPr>
            <w:tcW w:w="1833" w:type="dxa"/>
            <w:gridSpan w:val="3"/>
            <w:tcBorders>
              <w:top w:val="nil"/>
              <w:left w:val="single" w:color="000000" w:sz="6" w:space="0"/>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sz w:val="24"/>
                <w:szCs w:val="24"/>
              </w:rPr>
            </w:pPr>
            <w:r>
              <w:rPr>
                <w:rFonts w:hint="eastAsia" w:ascii="宋体" w:hAnsi="宋体" w:eastAsia="宋体" w:cs="宋体"/>
                <w:sz w:val="24"/>
                <w:szCs w:val="24"/>
                <w:bdr w:val="none" w:color="auto" w:sz="0" w:space="0"/>
              </w:rPr>
              <w:t>检查结论</w:t>
            </w:r>
          </w:p>
        </w:tc>
        <w:tc>
          <w:tcPr>
            <w:tcW w:w="4936" w:type="dxa"/>
            <w:gridSpan w:val="20"/>
            <w:tcBorders>
              <w:top w:val="nil"/>
              <w:left w:val="nil"/>
              <w:bottom w:val="single" w:color="000000" w:sz="6" w:space="0"/>
              <w:right w:val="single" w:color="000000" w:sz="6" w:space="0"/>
            </w:tcBorders>
            <w:shd w:val="clear" w:color="auto" w:fill="CED7E7"/>
            <w:tcMar>
              <w:left w:w="57" w:type="dxa"/>
              <w:right w:w="5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认定学科建议：不宜认定体检标准中第二部分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第□□，□□，□□，□□，□□条所列相关学科。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体检结论：（1.合格，2.学科受限，3.不合格）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负责医师（签章）：</w:t>
            </w:r>
          </w:p>
        </w:tc>
        <w:tc>
          <w:tcPr>
            <w:tcW w:w="2668" w:type="dxa"/>
            <w:gridSpan w:val="3"/>
            <w:tcBorders>
              <w:top w:val="nil"/>
              <w:left w:val="nil"/>
              <w:bottom w:val="single" w:color="000000" w:sz="6" w:space="0"/>
              <w:right w:val="single" w:color="000000" w:sz="6" w:space="0"/>
            </w:tcBorders>
            <w:shd w:val="clear" w:color="auto" w:fill="CED7E7"/>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体检医院盖章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both"/>
              <w:rPr>
                <w:rFonts w:hint="default" w:ascii="Times New Roman" w:hAnsi="Times New Roman" w:cs="Times New Roman"/>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right"/>
              <w:rPr>
                <w:rFonts w:hint="default" w:ascii="Times New Roman" w:hAnsi="Times New Roman" w:cs="Times New Roman"/>
                <w:sz w:val="24"/>
                <w:szCs w:val="24"/>
              </w:rPr>
            </w:pPr>
            <w:r>
              <w:rPr>
                <w:rFonts w:hint="eastAsia" w:ascii="宋体" w:hAnsi="宋体" w:eastAsia="宋体" w:cs="宋体"/>
                <w:sz w:val="24"/>
                <w:szCs w:val="24"/>
                <w:bdr w:val="none" w:color="auto" w:sz="0" w:space="0"/>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20" w:type="dxa"/>
            <w:tcBorders>
              <w:top w:val="nil"/>
              <w:left w:val="nil"/>
              <w:bottom w:val="nil"/>
              <w:right w:val="nil"/>
            </w:tcBorders>
            <w:shd w:val="clear" w:color="auto" w:fill="CED7E7"/>
            <w:vAlign w:val="center"/>
          </w:tcPr>
          <w:p>
            <w:pPr>
              <w:rPr>
                <w:rFonts w:hint="eastAsia" w:ascii="宋体"/>
                <w:sz w:val="24"/>
                <w:szCs w:val="24"/>
              </w:rPr>
            </w:pPr>
          </w:p>
        </w:tc>
        <w:tc>
          <w:tcPr>
            <w:tcW w:w="660" w:type="dxa"/>
            <w:tcBorders>
              <w:top w:val="nil"/>
              <w:left w:val="nil"/>
              <w:bottom w:val="nil"/>
              <w:right w:val="nil"/>
            </w:tcBorders>
            <w:shd w:val="clear" w:color="auto" w:fill="CED7E7"/>
            <w:vAlign w:val="center"/>
          </w:tcPr>
          <w:p>
            <w:pPr>
              <w:rPr>
                <w:rFonts w:hint="eastAsia" w:ascii="宋体"/>
                <w:sz w:val="24"/>
                <w:szCs w:val="24"/>
              </w:rPr>
            </w:pPr>
          </w:p>
        </w:tc>
        <w:tc>
          <w:tcPr>
            <w:tcW w:w="750" w:type="dxa"/>
            <w:tcBorders>
              <w:top w:val="nil"/>
              <w:left w:val="nil"/>
              <w:bottom w:val="nil"/>
              <w:right w:val="nil"/>
            </w:tcBorders>
            <w:shd w:val="clear" w:color="auto" w:fill="CED7E7"/>
            <w:vAlign w:val="center"/>
          </w:tcPr>
          <w:p>
            <w:pPr>
              <w:rPr>
                <w:rFonts w:hint="eastAsia" w:ascii="宋体"/>
                <w:sz w:val="24"/>
                <w:szCs w:val="24"/>
              </w:rPr>
            </w:pPr>
          </w:p>
        </w:tc>
        <w:tc>
          <w:tcPr>
            <w:tcW w:w="135" w:type="dxa"/>
            <w:tcBorders>
              <w:top w:val="nil"/>
              <w:left w:val="nil"/>
              <w:bottom w:val="nil"/>
              <w:right w:val="nil"/>
            </w:tcBorders>
            <w:shd w:val="clear" w:color="auto" w:fill="CED7E7"/>
            <w:vAlign w:val="center"/>
          </w:tcPr>
          <w:p>
            <w:pPr>
              <w:rPr>
                <w:rFonts w:hint="eastAsia" w:ascii="宋体"/>
                <w:sz w:val="24"/>
                <w:szCs w:val="24"/>
              </w:rPr>
            </w:pPr>
          </w:p>
        </w:tc>
        <w:tc>
          <w:tcPr>
            <w:tcW w:w="300" w:type="dxa"/>
            <w:tcBorders>
              <w:top w:val="nil"/>
              <w:left w:val="nil"/>
              <w:bottom w:val="nil"/>
              <w:right w:val="nil"/>
            </w:tcBorders>
            <w:shd w:val="clear" w:color="auto" w:fill="CED7E7"/>
            <w:vAlign w:val="center"/>
          </w:tcPr>
          <w:p>
            <w:pPr>
              <w:rPr>
                <w:rFonts w:hint="eastAsia" w:ascii="宋体"/>
                <w:sz w:val="24"/>
                <w:szCs w:val="24"/>
              </w:rPr>
            </w:pPr>
          </w:p>
        </w:tc>
        <w:tc>
          <w:tcPr>
            <w:tcW w:w="555" w:type="dxa"/>
            <w:tcBorders>
              <w:top w:val="nil"/>
              <w:left w:val="nil"/>
              <w:bottom w:val="nil"/>
              <w:right w:val="nil"/>
            </w:tcBorders>
            <w:shd w:val="clear" w:color="auto" w:fill="CED7E7"/>
            <w:vAlign w:val="center"/>
          </w:tcPr>
          <w:p>
            <w:pPr>
              <w:rPr>
                <w:rFonts w:hint="eastAsia" w:ascii="宋体"/>
                <w:sz w:val="24"/>
                <w:szCs w:val="24"/>
              </w:rPr>
            </w:pPr>
          </w:p>
        </w:tc>
        <w:tc>
          <w:tcPr>
            <w:tcW w:w="180" w:type="dxa"/>
            <w:tcBorders>
              <w:top w:val="nil"/>
              <w:left w:val="nil"/>
              <w:bottom w:val="nil"/>
              <w:right w:val="nil"/>
            </w:tcBorders>
            <w:shd w:val="clear" w:color="auto" w:fill="CED7E7"/>
            <w:vAlign w:val="center"/>
          </w:tcPr>
          <w:p>
            <w:pPr>
              <w:rPr>
                <w:rFonts w:hint="eastAsia" w:ascii="宋体"/>
                <w:sz w:val="24"/>
                <w:szCs w:val="24"/>
              </w:rPr>
            </w:pPr>
          </w:p>
        </w:tc>
        <w:tc>
          <w:tcPr>
            <w:tcW w:w="240" w:type="dxa"/>
            <w:tcBorders>
              <w:top w:val="nil"/>
              <w:left w:val="nil"/>
              <w:bottom w:val="nil"/>
              <w:right w:val="nil"/>
            </w:tcBorders>
            <w:shd w:val="clear" w:color="auto" w:fill="CED7E7"/>
            <w:vAlign w:val="center"/>
          </w:tcPr>
          <w:p>
            <w:pPr>
              <w:rPr>
                <w:rFonts w:hint="eastAsia" w:ascii="宋体"/>
                <w:sz w:val="24"/>
                <w:szCs w:val="24"/>
              </w:rPr>
            </w:pPr>
          </w:p>
        </w:tc>
        <w:tc>
          <w:tcPr>
            <w:tcW w:w="105" w:type="dxa"/>
            <w:tcBorders>
              <w:top w:val="nil"/>
              <w:left w:val="nil"/>
              <w:bottom w:val="nil"/>
              <w:right w:val="nil"/>
            </w:tcBorders>
            <w:shd w:val="clear" w:color="auto" w:fill="CED7E7"/>
            <w:vAlign w:val="center"/>
          </w:tcPr>
          <w:p>
            <w:pPr>
              <w:rPr>
                <w:rFonts w:hint="eastAsia" w:ascii="宋体"/>
                <w:sz w:val="24"/>
                <w:szCs w:val="24"/>
              </w:rPr>
            </w:pPr>
          </w:p>
        </w:tc>
        <w:tc>
          <w:tcPr>
            <w:tcW w:w="480" w:type="dxa"/>
            <w:tcBorders>
              <w:top w:val="nil"/>
              <w:left w:val="nil"/>
              <w:bottom w:val="nil"/>
              <w:right w:val="nil"/>
            </w:tcBorders>
            <w:shd w:val="clear" w:color="auto" w:fill="CED7E7"/>
            <w:vAlign w:val="center"/>
          </w:tcPr>
          <w:p>
            <w:pPr>
              <w:rPr>
                <w:rFonts w:hint="eastAsia" w:ascii="宋体"/>
                <w:sz w:val="24"/>
                <w:szCs w:val="24"/>
              </w:rPr>
            </w:pPr>
          </w:p>
        </w:tc>
        <w:tc>
          <w:tcPr>
            <w:tcW w:w="120" w:type="dxa"/>
            <w:tcBorders>
              <w:top w:val="nil"/>
              <w:left w:val="nil"/>
              <w:bottom w:val="nil"/>
              <w:right w:val="nil"/>
            </w:tcBorders>
            <w:shd w:val="clear" w:color="auto" w:fill="CED7E7"/>
            <w:vAlign w:val="center"/>
          </w:tcPr>
          <w:p>
            <w:pPr>
              <w:rPr>
                <w:rFonts w:hint="eastAsia" w:ascii="宋体"/>
                <w:sz w:val="24"/>
                <w:szCs w:val="24"/>
              </w:rPr>
            </w:pPr>
          </w:p>
        </w:tc>
        <w:tc>
          <w:tcPr>
            <w:tcW w:w="90" w:type="dxa"/>
            <w:tcBorders>
              <w:top w:val="nil"/>
              <w:left w:val="nil"/>
              <w:bottom w:val="nil"/>
              <w:right w:val="nil"/>
            </w:tcBorders>
            <w:shd w:val="clear" w:color="auto" w:fill="CED7E7"/>
            <w:vAlign w:val="center"/>
          </w:tcPr>
          <w:p>
            <w:pPr>
              <w:rPr>
                <w:rFonts w:hint="eastAsia" w:ascii="宋体"/>
                <w:sz w:val="24"/>
                <w:szCs w:val="24"/>
              </w:rPr>
            </w:pPr>
          </w:p>
        </w:tc>
        <w:tc>
          <w:tcPr>
            <w:tcW w:w="300" w:type="dxa"/>
            <w:tcBorders>
              <w:top w:val="nil"/>
              <w:left w:val="nil"/>
              <w:bottom w:val="nil"/>
              <w:right w:val="nil"/>
            </w:tcBorders>
            <w:shd w:val="clear" w:color="auto" w:fill="CED7E7"/>
            <w:vAlign w:val="center"/>
          </w:tcPr>
          <w:p>
            <w:pPr>
              <w:rPr>
                <w:rFonts w:hint="eastAsia" w:ascii="宋体"/>
                <w:sz w:val="24"/>
                <w:szCs w:val="24"/>
              </w:rPr>
            </w:pPr>
          </w:p>
        </w:tc>
        <w:tc>
          <w:tcPr>
            <w:tcW w:w="285" w:type="dxa"/>
            <w:tcBorders>
              <w:top w:val="nil"/>
              <w:left w:val="nil"/>
              <w:bottom w:val="nil"/>
              <w:right w:val="nil"/>
            </w:tcBorders>
            <w:shd w:val="clear" w:color="auto" w:fill="CED7E7"/>
            <w:vAlign w:val="center"/>
          </w:tcPr>
          <w:p>
            <w:pPr>
              <w:rPr>
                <w:rFonts w:hint="eastAsia" w:ascii="宋体"/>
                <w:sz w:val="24"/>
                <w:szCs w:val="24"/>
              </w:rPr>
            </w:pPr>
          </w:p>
        </w:tc>
        <w:tc>
          <w:tcPr>
            <w:tcW w:w="195" w:type="dxa"/>
            <w:tcBorders>
              <w:top w:val="nil"/>
              <w:left w:val="nil"/>
              <w:bottom w:val="nil"/>
              <w:right w:val="nil"/>
            </w:tcBorders>
            <w:shd w:val="clear" w:color="auto" w:fill="CED7E7"/>
            <w:vAlign w:val="center"/>
          </w:tcPr>
          <w:p>
            <w:pPr>
              <w:rPr>
                <w:rFonts w:hint="eastAsia" w:ascii="宋体"/>
                <w:sz w:val="24"/>
                <w:szCs w:val="24"/>
              </w:rPr>
            </w:pPr>
          </w:p>
        </w:tc>
        <w:tc>
          <w:tcPr>
            <w:tcW w:w="105" w:type="dxa"/>
            <w:tcBorders>
              <w:top w:val="nil"/>
              <w:left w:val="nil"/>
              <w:bottom w:val="nil"/>
              <w:right w:val="nil"/>
            </w:tcBorders>
            <w:shd w:val="clear" w:color="auto" w:fill="CED7E7"/>
            <w:vAlign w:val="center"/>
          </w:tcPr>
          <w:p>
            <w:pPr>
              <w:rPr>
                <w:rFonts w:hint="eastAsia" w:ascii="宋体"/>
                <w:sz w:val="24"/>
                <w:szCs w:val="24"/>
              </w:rPr>
            </w:pPr>
          </w:p>
        </w:tc>
        <w:tc>
          <w:tcPr>
            <w:tcW w:w="285" w:type="dxa"/>
            <w:tcBorders>
              <w:top w:val="nil"/>
              <w:left w:val="nil"/>
              <w:bottom w:val="nil"/>
              <w:right w:val="nil"/>
            </w:tcBorders>
            <w:shd w:val="clear" w:color="auto" w:fill="CED7E7"/>
            <w:vAlign w:val="center"/>
          </w:tcPr>
          <w:p>
            <w:pPr>
              <w:rPr>
                <w:rFonts w:hint="eastAsia" w:ascii="宋体"/>
                <w:sz w:val="24"/>
                <w:szCs w:val="24"/>
              </w:rPr>
            </w:pPr>
          </w:p>
        </w:tc>
        <w:tc>
          <w:tcPr>
            <w:tcW w:w="150" w:type="dxa"/>
            <w:tcBorders>
              <w:top w:val="nil"/>
              <w:left w:val="nil"/>
              <w:bottom w:val="nil"/>
              <w:right w:val="nil"/>
            </w:tcBorders>
            <w:shd w:val="clear" w:color="auto" w:fill="CED7E7"/>
            <w:vAlign w:val="center"/>
          </w:tcPr>
          <w:p>
            <w:pPr>
              <w:rPr>
                <w:rFonts w:hint="eastAsia" w:ascii="宋体"/>
                <w:sz w:val="24"/>
                <w:szCs w:val="24"/>
              </w:rPr>
            </w:pPr>
          </w:p>
        </w:tc>
        <w:tc>
          <w:tcPr>
            <w:tcW w:w="525" w:type="dxa"/>
            <w:tcBorders>
              <w:top w:val="nil"/>
              <w:left w:val="nil"/>
              <w:bottom w:val="nil"/>
              <w:right w:val="nil"/>
            </w:tcBorders>
            <w:shd w:val="clear" w:color="auto" w:fill="CED7E7"/>
            <w:vAlign w:val="center"/>
          </w:tcPr>
          <w:p>
            <w:pPr>
              <w:rPr>
                <w:rFonts w:hint="eastAsia" w:ascii="宋体"/>
                <w:sz w:val="24"/>
                <w:szCs w:val="24"/>
              </w:rPr>
            </w:pPr>
          </w:p>
        </w:tc>
        <w:tc>
          <w:tcPr>
            <w:tcW w:w="270" w:type="dxa"/>
            <w:tcBorders>
              <w:top w:val="nil"/>
              <w:left w:val="nil"/>
              <w:bottom w:val="nil"/>
              <w:right w:val="nil"/>
            </w:tcBorders>
            <w:shd w:val="clear" w:color="auto" w:fill="CED7E7"/>
            <w:vAlign w:val="center"/>
          </w:tcPr>
          <w:p>
            <w:pPr>
              <w:rPr>
                <w:rFonts w:hint="eastAsia" w:ascii="宋体"/>
                <w:sz w:val="24"/>
                <w:szCs w:val="24"/>
              </w:rPr>
            </w:pPr>
          </w:p>
        </w:tc>
        <w:tc>
          <w:tcPr>
            <w:tcW w:w="150" w:type="dxa"/>
            <w:tcBorders>
              <w:top w:val="nil"/>
              <w:left w:val="nil"/>
              <w:bottom w:val="nil"/>
              <w:right w:val="nil"/>
            </w:tcBorders>
            <w:shd w:val="clear" w:color="auto" w:fill="CED7E7"/>
            <w:vAlign w:val="center"/>
          </w:tcPr>
          <w:p>
            <w:pPr>
              <w:rPr>
                <w:rFonts w:hint="eastAsia" w:ascii="宋体"/>
                <w:sz w:val="24"/>
                <w:szCs w:val="24"/>
              </w:rPr>
            </w:pPr>
          </w:p>
        </w:tc>
        <w:tc>
          <w:tcPr>
            <w:tcW w:w="390" w:type="dxa"/>
            <w:tcBorders>
              <w:top w:val="nil"/>
              <w:left w:val="nil"/>
              <w:bottom w:val="nil"/>
              <w:right w:val="nil"/>
            </w:tcBorders>
            <w:shd w:val="clear" w:color="auto" w:fill="CED7E7"/>
            <w:vAlign w:val="center"/>
          </w:tcPr>
          <w:p>
            <w:pPr>
              <w:rPr>
                <w:rFonts w:hint="eastAsia" w:ascii="宋体"/>
                <w:sz w:val="24"/>
                <w:szCs w:val="24"/>
              </w:rPr>
            </w:pPr>
          </w:p>
        </w:tc>
        <w:tc>
          <w:tcPr>
            <w:tcW w:w="60" w:type="dxa"/>
            <w:tcBorders>
              <w:top w:val="nil"/>
              <w:left w:val="nil"/>
              <w:bottom w:val="nil"/>
              <w:right w:val="nil"/>
            </w:tcBorders>
            <w:shd w:val="clear" w:color="auto" w:fill="CED7E7"/>
            <w:vAlign w:val="center"/>
          </w:tcPr>
          <w:p>
            <w:pPr>
              <w:rPr>
                <w:rFonts w:hint="eastAsia" w:ascii="宋体"/>
                <w:sz w:val="24"/>
                <w:szCs w:val="24"/>
              </w:rPr>
            </w:pPr>
          </w:p>
        </w:tc>
        <w:tc>
          <w:tcPr>
            <w:tcW w:w="315" w:type="dxa"/>
            <w:tcBorders>
              <w:top w:val="nil"/>
              <w:left w:val="nil"/>
              <w:bottom w:val="nil"/>
              <w:right w:val="nil"/>
            </w:tcBorders>
            <w:shd w:val="clear" w:color="auto" w:fill="CED7E7"/>
            <w:vAlign w:val="center"/>
          </w:tcPr>
          <w:p>
            <w:pPr>
              <w:rPr>
                <w:rFonts w:hint="eastAsia" w:ascii="宋体"/>
                <w:sz w:val="24"/>
                <w:szCs w:val="24"/>
              </w:rPr>
            </w:pPr>
          </w:p>
        </w:tc>
        <w:tc>
          <w:tcPr>
            <w:tcW w:w="435" w:type="dxa"/>
            <w:tcBorders>
              <w:top w:val="nil"/>
              <w:left w:val="nil"/>
              <w:bottom w:val="nil"/>
              <w:right w:val="nil"/>
            </w:tcBorders>
            <w:shd w:val="clear" w:color="auto" w:fill="CED7E7"/>
            <w:vAlign w:val="center"/>
          </w:tcPr>
          <w:p>
            <w:pPr>
              <w:rPr>
                <w:rFonts w:hint="eastAsia" w:ascii="宋体"/>
                <w:sz w:val="24"/>
                <w:szCs w:val="24"/>
              </w:rPr>
            </w:pPr>
          </w:p>
        </w:tc>
        <w:tc>
          <w:tcPr>
            <w:tcW w:w="1920" w:type="dxa"/>
            <w:tcBorders>
              <w:top w:val="nil"/>
              <w:left w:val="nil"/>
              <w:bottom w:val="nil"/>
              <w:right w:val="nil"/>
            </w:tcBorders>
            <w:shd w:val="clear" w:color="auto" w:fill="CED7E7"/>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80"/>
        <w:jc w:val="both"/>
        <w:rPr>
          <w:rFonts w:hint="default" w:ascii="Times New Roman" w:hAnsi="Times New Roman" w:cs="Times New Roman"/>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80"/>
        <w:jc w:val="both"/>
        <w:rPr>
          <w:rFonts w:hint="default" w:ascii="Times New Roman" w:hAnsi="Times New Roman" w:cs="Times New Roman"/>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1.体检在相应的教师资格认定机构指定的县级以上医院进行，并必须包括传染病和精神病史等项目。高等学校教师资格认定体检由拟聘任教学校统一组织在市州以上医院进行。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80"/>
        <w:jc w:val="both"/>
        <w:rPr>
          <w:rFonts w:hint="default" w:ascii="Times New Roman" w:hAnsi="Times New Roman" w:cs="Times New Roman"/>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0" w:lineRule="atLeast"/>
        <w:ind w:left="0" w:right="0" w:firstLine="480"/>
        <w:jc w:val="both"/>
        <w:rPr>
          <w:rFonts w:hint="default" w:ascii="Times New Roman" w:hAnsi="Times New Roman" w:cs="Times New Roman"/>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3.承担体检的医院应当根据上述标准，对被检人员做出合格、学科受限或不合格的结论。</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both"/>
        <w:rPr>
          <w:rFonts w:hint="default" w:ascii="Times New Roman" w:hAnsi="Times New Roman" w:cs="Times New Roman"/>
          <w:i w:val="0"/>
          <w:iCs w:val="0"/>
          <w:caps w:val="0"/>
          <w:color w:val="000000"/>
          <w:spacing w:val="0"/>
          <w:sz w:val="24"/>
          <w:szCs w:val="24"/>
        </w:rPr>
      </w:pPr>
      <w:r>
        <w:rPr>
          <w:rFonts w:hint="eastAsia" w:ascii="楷体" w:hAnsi="楷体" w:eastAsia="楷体" w:cs="楷体"/>
          <w:i w:val="0"/>
          <w:iCs w:val="0"/>
          <w:caps w:val="0"/>
          <w:color w:val="000000"/>
          <w:spacing w:val="0"/>
          <w:sz w:val="24"/>
          <w:szCs w:val="24"/>
          <w:bdr w:val="none" w:color="auto" w:sz="0" w:space="0"/>
          <w:shd w:val="clear" w:fill="FFFFFF"/>
        </w:rPr>
        <w:t>附件</w:t>
      </w:r>
      <w:r>
        <w:rPr>
          <w:rFonts w:hint="default" w:ascii="Times New Roman" w:hAnsi="Times New Roman" w:cs="Times New Roman"/>
          <w:i w:val="0"/>
          <w:iCs w:val="0"/>
          <w:caps w:val="0"/>
          <w:color w:val="000000"/>
          <w:spacing w:val="0"/>
          <w:sz w:val="24"/>
          <w:szCs w:val="24"/>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方正小标宋_GBK" w:hAnsi="方正小标宋_GBK" w:eastAsia="方正小标宋_GBK" w:cs="方正小标宋_GBK"/>
          <w:i w:val="0"/>
          <w:iCs w:val="0"/>
          <w:caps w:val="0"/>
          <w:color w:val="000000"/>
          <w:spacing w:val="0"/>
          <w:sz w:val="24"/>
          <w:szCs w:val="24"/>
          <w:bdr w:val="none" w:color="auto" w:sz="0" w:space="0"/>
          <w:shd w:val="clear" w:fill="FFFFFF"/>
        </w:rPr>
        <w:t>郴州市苏仙区2023年上半年中小学、幼儿园教师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Times New Roman" w:hAnsi="Times New Roman" w:cs="Times New Roman"/>
          <w:i w:val="0"/>
          <w:iCs w:val="0"/>
          <w:caps w:val="0"/>
          <w:color w:val="000000"/>
          <w:spacing w:val="0"/>
          <w:sz w:val="24"/>
          <w:szCs w:val="24"/>
        </w:rPr>
      </w:pPr>
      <w:r>
        <w:rPr>
          <w:rFonts w:hint="default" w:ascii="方正小标宋_GBK" w:hAnsi="方正小标宋_GBK" w:eastAsia="方正小标宋_GBK" w:cs="方正小标宋_GBK"/>
          <w:i w:val="0"/>
          <w:iCs w:val="0"/>
          <w:caps w:val="0"/>
          <w:color w:val="000000"/>
          <w:spacing w:val="0"/>
          <w:sz w:val="24"/>
          <w:szCs w:val="24"/>
          <w:bdr w:val="none" w:color="auto" w:sz="0" w:space="0"/>
          <w:shd w:val="clear" w:fill="FFFFFF"/>
        </w:rPr>
        <w:t>资格认定现场确认预约二维码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bdr w:val="none" w:color="auto" w:sz="0" w:space="0"/>
          <w:shd w:val="clear" w:fill="FFFFFF"/>
        </w:rPr>
        <w:drawing>
          <wp:inline distT="0" distB="0" distL="114300" distR="114300">
            <wp:extent cx="3362325" cy="41529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362325" cy="41529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11081216"/>
    <w:rsid w:val="1108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1593</Words>
  <Characters>1623</Characters>
  <Lines>0</Lines>
  <Paragraphs>0</Paragraphs>
  <TotalTime>0</TotalTime>
  <ScaleCrop>false</ScaleCrop>
  <LinksUpToDate>false</LinksUpToDate>
  <CharactersWithSpaces>1849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2023-05-11T01:51:00Z</dcterms:created>
  <dc:creator>Administrator</dc:creator>
  <cp:lastModifiedBy>Administrator</cp:lastModifiedBy>
  <dcterms:modified xsi:type="dcterms:W3CDTF">2023-05-11T01:52:46Z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3392BA192F57441A86EF6F37E1D73871_11</vt:lpwstr>
  </property>
</Properties>
</file>