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考点一   教育的词源</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tbl>
      <w:tblPr>
        <w:tblStyle w:val="5"/>
        <w:tblpPr w:leftFromText="180" w:rightFromText="180" w:vertAnchor="text" w:horzAnchor="page" w:tblpX="1792" w:tblpY="2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400"/>
        <w:gridCol w:w="3504"/>
        <w:gridCol w:w="1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shd w:val="clear" w:color="auto" w:fill="auto"/>
            <w:noWrap w:val="0"/>
            <w:vAlign w:val="center"/>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人物</w:t>
            </w:r>
          </w:p>
        </w:tc>
        <w:tc>
          <w:tcPr>
            <w:tcW w:w="2400" w:type="dxa"/>
            <w:shd w:val="clear" w:color="auto" w:fill="auto"/>
            <w:noWrap w:val="0"/>
            <w:vAlign w:val="center"/>
          </w:tcPr>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著作</w:t>
            </w:r>
          </w:p>
        </w:tc>
        <w:tc>
          <w:tcPr>
            <w:tcW w:w="3504" w:type="dxa"/>
            <w:shd w:val="clear" w:color="auto" w:fill="auto"/>
            <w:noWrap w:val="0"/>
            <w:vAlign w:val="center"/>
          </w:tcPr>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句子</w:t>
            </w:r>
          </w:p>
        </w:tc>
        <w:tc>
          <w:tcPr>
            <w:tcW w:w="1595" w:type="dxa"/>
            <w:shd w:val="clear" w:color="auto" w:fill="auto"/>
            <w:noWrap w:val="0"/>
            <w:vAlign w:val="center"/>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解释方式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战国孟子</w:t>
            </w:r>
          </w:p>
        </w:tc>
        <w:tc>
          <w:tcPr>
            <w:tcW w:w="2400"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《孟子·尽心上》</w:t>
            </w:r>
          </w:p>
        </w:tc>
        <w:tc>
          <w:tcPr>
            <w:tcW w:w="3504"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“得天下英才而教育之，三乐也。”</w:t>
            </w:r>
          </w:p>
          <w:p>
            <w:pPr>
              <w:spacing w:line="360" w:lineRule="auto"/>
              <w:jc w:val="left"/>
              <w:rPr>
                <w:rFonts w:hint="eastAsia" w:ascii="宋体" w:hAnsi="宋体" w:cs="微软雅黑"/>
                <w:sz w:val="24"/>
              </w:rPr>
            </w:pPr>
          </w:p>
        </w:tc>
        <w:tc>
          <w:tcPr>
            <w:tcW w:w="1595"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合并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东汉许慎</w:t>
            </w:r>
          </w:p>
        </w:tc>
        <w:tc>
          <w:tcPr>
            <w:tcW w:w="2400"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《说文解字》</w:t>
            </w:r>
          </w:p>
        </w:tc>
        <w:tc>
          <w:tcPr>
            <w:tcW w:w="3504"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教，上所施，下所效也”；“育，养子使作善也”。</w:t>
            </w:r>
          </w:p>
          <w:p>
            <w:pPr>
              <w:spacing w:line="360" w:lineRule="auto"/>
              <w:jc w:val="left"/>
              <w:rPr>
                <w:rFonts w:hint="eastAsia" w:ascii="宋体" w:hAnsi="宋体" w:cs="微软雅黑"/>
                <w:sz w:val="24"/>
              </w:rPr>
            </w:pPr>
          </w:p>
        </w:tc>
        <w:tc>
          <w:tcPr>
            <w:tcW w:w="1595"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分开</w:t>
            </w:r>
          </w:p>
        </w:tc>
      </w:tr>
    </w:tbl>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考点二   教育的本质属性</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 xml:space="preserve">题型涉及：单选 辨析 </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教育是有目的、有计划、有组织地培养人的社会实践活动，即根据一定的社会需要进行的培养人的活动。</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本质体现：</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——目的性</w:t>
      </w:r>
      <w:bookmarkStart w:id="0" w:name="_GoBack"/>
      <w:bookmarkEnd w:id="0"/>
    </w:p>
    <w:p>
      <w:pPr>
        <w:spacing w:line="360" w:lineRule="auto"/>
        <w:ind w:firstLine="480" w:firstLineChars="200"/>
        <w:jc w:val="left"/>
        <w:rPr>
          <w:rFonts w:hint="eastAsia" w:ascii="宋体" w:hAnsi="宋体" w:cs="微软雅黑"/>
          <w:sz w:val="24"/>
        </w:rPr>
      </w:pPr>
      <w:r>
        <w:rPr>
          <w:rFonts w:hint="eastAsia" w:ascii="宋体" w:hAnsi="宋体" w:cs="微软雅黑"/>
          <w:sz w:val="24"/>
        </w:rPr>
        <w:t>——育人性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——社会性</w:t>
      </w:r>
    </w:p>
    <w:p>
      <w:pPr>
        <w:spacing w:line="360" w:lineRule="auto"/>
        <w:ind w:firstLine="480" w:firstLineChars="200"/>
        <w:jc w:val="left"/>
        <w:rPr>
          <w:rFonts w:hint="eastAsia" w:ascii="宋体" w:hAnsi="宋体" w:cs="微软雅黑"/>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  教育三要素</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466"/>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noWrap w:val="0"/>
            <w:vAlign w:val="center"/>
          </w:tcPr>
          <w:p>
            <w:pPr>
              <w:spacing w:line="360" w:lineRule="auto"/>
              <w:ind w:firstLine="482" w:firstLineChars="200"/>
              <w:jc w:val="left"/>
              <w:rPr>
                <w:rFonts w:hint="eastAsia" w:ascii="宋体" w:hAnsi="宋体" w:cs="微软雅黑"/>
                <w:b/>
                <w:bCs/>
                <w:color w:val="4BACC6"/>
                <w:sz w:val="24"/>
              </w:rPr>
            </w:pPr>
            <w:r>
              <w:rPr>
                <w:rFonts w:hint="eastAsia" w:ascii="宋体" w:hAnsi="宋体" w:cs="微软雅黑"/>
                <w:b/>
                <w:bCs/>
                <w:color w:val="4BACC6"/>
                <w:sz w:val="24"/>
              </w:rPr>
              <w:t>要素</w:t>
            </w:r>
          </w:p>
        </w:tc>
        <w:tc>
          <w:tcPr>
            <w:tcW w:w="1466" w:type="dxa"/>
            <w:shd w:val="clear" w:color="auto" w:fill="auto"/>
            <w:noWrap w:val="0"/>
            <w:vAlign w:val="center"/>
          </w:tcPr>
          <w:p>
            <w:pPr>
              <w:spacing w:line="360" w:lineRule="auto"/>
              <w:ind w:firstLine="482" w:firstLineChars="200"/>
              <w:jc w:val="left"/>
              <w:rPr>
                <w:rFonts w:hint="eastAsia" w:ascii="宋体" w:hAnsi="宋体" w:cs="微软雅黑"/>
                <w:b/>
                <w:bCs/>
                <w:color w:val="4BACC6"/>
                <w:sz w:val="24"/>
              </w:rPr>
            </w:pPr>
            <w:r>
              <w:rPr>
                <w:rFonts w:hint="eastAsia" w:ascii="宋体" w:hAnsi="宋体" w:cs="微软雅黑"/>
                <w:b/>
                <w:bCs/>
                <w:color w:val="4BACC6"/>
                <w:sz w:val="24"/>
              </w:rPr>
              <w:t>作用</w:t>
            </w:r>
          </w:p>
        </w:tc>
        <w:tc>
          <w:tcPr>
            <w:tcW w:w="4216" w:type="dxa"/>
            <w:shd w:val="clear" w:color="auto" w:fill="auto"/>
            <w:noWrap w:val="0"/>
            <w:vAlign w:val="center"/>
          </w:tcPr>
          <w:p>
            <w:pPr>
              <w:spacing w:line="360" w:lineRule="auto"/>
              <w:ind w:firstLine="482" w:firstLineChars="200"/>
              <w:jc w:val="left"/>
              <w:rPr>
                <w:rFonts w:hint="eastAsia" w:ascii="宋体" w:hAnsi="宋体" w:cs="微软雅黑"/>
                <w:b/>
                <w:bCs/>
                <w:color w:val="4BACC6"/>
                <w:sz w:val="24"/>
              </w:rPr>
            </w:pPr>
            <w:r>
              <w:rPr>
                <w:rFonts w:hint="eastAsia" w:ascii="宋体" w:hAnsi="宋体" w:cs="微软雅黑"/>
                <w:b/>
                <w:bCs/>
                <w:color w:val="4BACC6"/>
                <w:sz w:val="24"/>
              </w:rPr>
              <w:t>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2840"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教育者</w:t>
            </w:r>
          </w:p>
        </w:tc>
        <w:tc>
          <w:tcPr>
            <w:tcW w:w="1466"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主导</w:t>
            </w:r>
          </w:p>
        </w:tc>
        <w:tc>
          <w:tcPr>
            <w:tcW w:w="4216"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学校教师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受教育者</w:t>
            </w:r>
          </w:p>
        </w:tc>
        <w:tc>
          <w:tcPr>
            <w:tcW w:w="1466"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主体</w:t>
            </w:r>
          </w:p>
        </w:tc>
        <w:tc>
          <w:tcPr>
            <w:tcW w:w="4216"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教育影响</w:t>
            </w:r>
          </w:p>
        </w:tc>
        <w:tc>
          <w:tcPr>
            <w:tcW w:w="1466"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中介</w:t>
            </w:r>
          </w:p>
        </w:tc>
        <w:tc>
          <w:tcPr>
            <w:tcW w:w="4216"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教育手段、内容、环境、措施</w:t>
            </w:r>
          </w:p>
        </w:tc>
      </w:tr>
    </w:tbl>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 教育的起源</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1"/>
        <w:gridCol w:w="2925"/>
        <w:gridCol w:w="3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281" w:type="dxa"/>
            <w:shd w:val="clear" w:color="auto" w:fill="auto"/>
            <w:noWrap w:val="0"/>
            <w:vAlign w:val="center"/>
          </w:tcPr>
          <w:p>
            <w:pPr>
              <w:spacing w:line="360" w:lineRule="auto"/>
              <w:jc w:val="left"/>
              <w:rPr>
                <w:rFonts w:hint="eastAsia" w:ascii="宋体" w:hAnsi="宋体" w:cs="微软雅黑"/>
                <w:b/>
                <w:bCs/>
                <w:color w:val="4BACC6"/>
                <w:sz w:val="24"/>
              </w:rPr>
            </w:pPr>
            <w:r>
              <w:rPr>
                <w:rFonts w:hint="eastAsia" w:ascii="宋体" w:hAnsi="宋体" w:cs="微软雅黑"/>
                <w:b/>
                <w:bCs/>
                <w:color w:val="4BACC6"/>
                <w:sz w:val="24"/>
              </w:rPr>
              <w:t>教育起源说</w:t>
            </w:r>
          </w:p>
        </w:tc>
        <w:tc>
          <w:tcPr>
            <w:tcW w:w="2925" w:type="dxa"/>
            <w:shd w:val="clear" w:color="auto" w:fill="auto"/>
            <w:noWrap w:val="0"/>
            <w:vAlign w:val="center"/>
          </w:tcPr>
          <w:p>
            <w:pPr>
              <w:spacing w:line="360" w:lineRule="auto"/>
              <w:jc w:val="left"/>
              <w:rPr>
                <w:rFonts w:hint="eastAsia" w:ascii="宋体" w:hAnsi="宋体" w:cs="微软雅黑"/>
                <w:b/>
                <w:bCs/>
                <w:color w:val="4BACC6"/>
                <w:sz w:val="24"/>
              </w:rPr>
            </w:pPr>
            <w:r>
              <w:rPr>
                <w:rFonts w:hint="eastAsia" w:ascii="宋体" w:hAnsi="宋体" w:cs="微软雅黑"/>
                <w:b/>
                <w:bCs/>
                <w:color w:val="4BACC6"/>
                <w:sz w:val="24"/>
              </w:rPr>
              <w:t>代表人物</w:t>
            </w:r>
          </w:p>
        </w:tc>
        <w:tc>
          <w:tcPr>
            <w:tcW w:w="3316" w:type="dxa"/>
            <w:shd w:val="clear" w:color="auto" w:fill="auto"/>
            <w:noWrap w:val="0"/>
            <w:vAlign w:val="center"/>
          </w:tcPr>
          <w:p>
            <w:pPr>
              <w:spacing w:line="360" w:lineRule="auto"/>
              <w:jc w:val="left"/>
              <w:rPr>
                <w:rFonts w:hint="eastAsia" w:ascii="宋体" w:hAnsi="宋体" w:cs="微软雅黑"/>
                <w:b/>
                <w:bCs/>
                <w:color w:val="4BACC6"/>
                <w:sz w:val="24"/>
              </w:rPr>
            </w:pPr>
            <w:r>
              <w:rPr>
                <w:rFonts w:hint="eastAsia" w:ascii="宋体" w:hAnsi="宋体" w:cs="微软雅黑"/>
                <w:b/>
                <w:bCs/>
                <w:color w:val="4BACC6"/>
                <w:sz w:val="24"/>
              </w:rPr>
              <w:t>主要理论观点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281"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神话起源说</w:t>
            </w:r>
          </w:p>
        </w:tc>
        <w:tc>
          <w:tcPr>
            <w:tcW w:w="2925"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所有宗教（朱熹）</w:t>
            </w:r>
          </w:p>
        </w:tc>
        <w:tc>
          <w:tcPr>
            <w:tcW w:w="3316"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神、古代神话、传说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生物起源说</w:t>
            </w:r>
          </w:p>
        </w:tc>
        <w:tc>
          <w:tcPr>
            <w:tcW w:w="2925"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法国   利托尔诺</w:t>
            </w:r>
          </w:p>
          <w:p>
            <w:pPr>
              <w:spacing w:line="360" w:lineRule="auto"/>
              <w:jc w:val="left"/>
              <w:rPr>
                <w:rFonts w:hint="eastAsia" w:ascii="宋体" w:hAnsi="宋体" w:cs="微软雅黑"/>
                <w:sz w:val="24"/>
              </w:rPr>
            </w:pPr>
            <w:r>
              <w:rPr>
                <w:rFonts w:hint="eastAsia" w:ascii="宋体" w:hAnsi="宋体" w:cs="微软雅黑"/>
                <w:sz w:val="24"/>
              </w:rPr>
              <w:t>英国   沛西·能</w:t>
            </w:r>
          </w:p>
          <w:p>
            <w:pPr>
              <w:spacing w:line="360" w:lineRule="auto"/>
              <w:jc w:val="left"/>
              <w:rPr>
                <w:rFonts w:hint="eastAsia" w:ascii="宋体" w:hAnsi="宋体" w:cs="微软雅黑"/>
                <w:sz w:val="24"/>
              </w:rPr>
            </w:pPr>
            <w:r>
              <w:rPr>
                <w:rFonts w:hint="eastAsia" w:ascii="宋体" w:hAnsi="宋体" w:cs="微软雅黑"/>
                <w:sz w:val="24"/>
              </w:rPr>
              <w:t>美国   桑代克</w:t>
            </w:r>
          </w:p>
        </w:tc>
        <w:tc>
          <w:tcPr>
            <w:tcW w:w="3316"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动物的生存本能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心理起源说</w:t>
            </w:r>
          </w:p>
        </w:tc>
        <w:tc>
          <w:tcPr>
            <w:tcW w:w="2925"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美国   孟禄</w:t>
            </w:r>
          </w:p>
        </w:tc>
        <w:tc>
          <w:tcPr>
            <w:tcW w:w="3316"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儿童对成人的无意识模仿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81"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劳动起源说</w:t>
            </w:r>
          </w:p>
          <w:p>
            <w:pPr>
              <w:spacing w:line="360" w:lineRule="auto"/>
              <w:jc w:val="left"/>
              <w:rPr>
                <w:rFonts w:hint="eastAsia" w:ascii="宋体" w:hAnsi="宋体" w:cs="微软雅黑"/>
                <w:sz w:val="24"/>
              </w:rPr>
            </w:pPr>
            <w:r>
              <w:rPr>
                <w:rFonts w:hint="eastAsia" w:ascii="宋体" w:hAnsi="宋体" w:cs="微软雅黑"/>
                <w:sz w:val="24"/>
              </w:rPr>
              <w:t>（社会起源说）</w:t>
            </w:r>
          </w:p>
          <w:p>
            <w:pPr>
              <w:spacing w:line="360" w:lineRule="auto"/>
              <w:jc w:val="left"/>
              <w:rPr>
                <w:rFonts w:hint="eastAsia" w:ascii="宋体" w:hAnsi="宋体" w:cs="微软雅黑"/>
                <w:sz w:val="24"/>
              </w:rPr>
            </w:pPr>
          </w:p>
        </w:tc>
        <w:tc>
          <w:tcPr>
            <w:tcW w:w="2925"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前苏联  米丁斯基</w:t>
            </w:r>
          </w:p>
          <w:p>
            <w:pPr>
              <w:spacing w:line="360" w:lineRule="auto"/>
              <w:jc w:val="left"/>
              <w:rPr>
                <w:rFonts w:hint="eastAsia" w:ascii="宋体" w:hAnsi="宋体" w:cs="微软雅黑"/>
                <w:sz w:val="24"/>
              </w:rPr>
            </w:pPr>
            <w:r>
              <w:rPr>
                <w:rFonts w:hint="eastAsia" w:ascii="宋体" w:hAnsi="宋体" w:cs="微软雅黑"/>
                <w:sz w:val="24"/>
              </w:rPr>
              <w:t>凯洛夫</w:t>
            </w:r>
          </w:p>
        </w:tc>
        <w:tc>
          <w:tcPr>
            <w:tcW w:w="3316"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社会劳动</w:t>
            </w:r>
          </w:p>
        </w:tc>
      </w:tr>
    </w:tbl>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 教育的基本形态</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（一）社会教育</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特点：开放性、群众性、补偿性、融合性、多样性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（二）家庭教育</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特点：先导性、感染性、权威性、针对性、终身性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（三）学校教育</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特点：职能的专门性、组织的严密性、作用的全面性、内容的系统性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手段的有效性、形式的稳定性</w:t>
      </w:r>
    </w:p>
    <w:p>
      <w:pPr>
        <w:spacing w:line="360" w:lineRule="auto"/>
        <w:ind w:firstLine="480" w:firstLineChars="200"/>
        <w:jc w:val="left"/>
        <w:rPr>
          <w:rFonts w:hint="eastAsia" w:ascii="宋体" w:hAnsi="宋体" w:cs="微软雅黑"/>
          <w:sz w:val="24"/>
        </w:rPr>
      </w:pPr>
    </w:p>
    <w:p>
      <w:pPr>
        <w:spacing w:line="360" w:lineRule="auto"/>
        <w:ind w:firstLine="482" w:firstLineChars="200"/>
        <w:jc w:val="left"/>
        <w:rPr>
          <w:rFonts w:hint="eastAsia" w:ascii="宋体" w:hAnsi="宋体" w:cs="微软雅黑"/>
          <w:sz w:val="24"/>
        </w:rPr>
      </w:pPr>
      <w:r>
        <w:rPr>
          <w:rFonts w:hint="eastAsia" w:ascii="宋体" w:hAnsi="宋体" w:cs="微软雅黑"/>
          <w:b/>
          <w:bCs/>
          <w:color w:val="FF0000"/>
          <w:sz w:val="24"/>
        </w:rPr>
        <w:t>考点六 原始社会的教育和古代教育</w:t>
      </w:r>
      <w:r>
        <w:rPr>
          <w:rFonts w:hint="eastAsia" w:ascii="宋体" w:hAnsi="宋体" w:cs="微软雅黑"/>
          <w:sz w:val="24"/>
        </w:rPr>
        <w:t xml:space="preserve"> </w:t>
      </w:r>
    </w:p>
    <w:p>
      <w:pPr>
        <w:spacing w:line="360" w:lineRule="auto"/>
        <w:ind w:firstLine="482" w:firstLineChars="200"/>
        <w:jc w:val="left"/>
        <w:rPr>
          <w:rFonts w:hint="eastAsia" w:ascii="宋体" w:hAnsi="宋体" w:cs="微软雅黑"/>
          <w:sz w:val="24"/>
        </w:rPr>
      </w:pPr>
      <w:r>
        <w:rPr>
          <w:rFonts w:hint="eastAsia" w:ascii="宋体" w:hAnsi="宋体" w:cs="微软雅黑"/>
          <w:b/>
          <w:bCs/>
          <w:color w:val="000000"/>
          <w:sz w:val="24"/>
        </w:rPr>
        <w:t>题型涉及：单选 辨析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6"/>
        <w:gridCol w:w="3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5806" w:type="dxa"/>
            <w:shd w:val="clear" w:color="auto" w:fill="auto"/>
            <w:noWrap w:val="0"/>
            <w:vAlign w:val="center"/>
          </w:tcPr>
          <w:p>
            <w:pPr>
              <w:spacing w:line="360" w:lineRule="auto"/>
              <w:jc w:val="left"/>
              <w:rPr>
                <w:rFonts w:hint="eastAsia" w:ascii="宋体" w:hAnsi="宋体" w:cs="微软雅黑"/>
                <w:b/>
                <w:bCs/>
                <w:color w:val="4BACC6"/>
                <w:sz w:val="24"/>
              </w:rPr>
            </w:pPr>
            <w:r>
              <w:rPr>
                <w:rFonts w:hint="eastAsia" w:ascii="宋体" w:hAnsi="宋体" w:cs="微软雅黑"/>
                <w:b/>
                <w:bCs/>
                <w:color w:val="4BACC6"/>
                <w:sz w:val="24"/>
              </w:rPr>
              <w:t>原始社会</w:t>
            </w:r>
          </w:p>
        </w:tc>
        <w:tc>
          <w:tcPr>
            <w:tcW w:w="3234" w:type="dxa"/>
            <w:shd w:val="clear" w:color="auto" w:fill="auto"/>
            <w:noWrap w:val="0"/>
            <w:vAlign w:val="center"/>
          </w:tcPr>
          <w:p>
            <w:pPr>
              <w:spacing w:line="360" w:lineRule="auto"/>
              <w:jc w:val="left"/>
              <w:rPr>
                <w:rFonts w:hint="eastAsia" w:ascii="宋体" w:hAnsi="宋体" w:cs="微软雅黑"/>
                <w:b/>
                <w:bCs/>
                <w:color w:val="4BACC6"/>
                <w:sz w:val="24"/>
              </w:rPr>
            </w:pPr>
            <w:r>
              <w:rPr>
                <w:rFonts w:hint="eastAsia" w:ascii="宋体" w:hAnsi="宋体" w:cs="微软雅黑"/>
                <w:b/>
                <w:bCs/>
                <w:color w:val="4BACC6"/>
                <w:sz w:val="24"/>
              </w:rPr>
              <w:t>古代社会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5806"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1、非独立性：教育是在社会和生产中进行的，没有和生产劳动相脱离</w:t>
            </w:r>
          </w:p>
          <w:p>
            <w:pPr>
              <w:spacing w:line="360" w:lineRule="auto"/>
              <w:jc w:val="left"/>
              <w:rPr>
                <w:rFonts w:hint="eastAsia" w:ascii="宋体" w:hAnsi="宋体" w:cs="微软雅黑"/>
                <w:sz w:val="24"/>
              </w:rPr>
            </w:pPr>
            <w:r>
              <w:rPr>
                <w:rFonts w:hint="eastAsia" w:ascii="宋体" w:hAnsi="宋体" w:cs="微软雅黑"/>
                <w:sz w:val="24"/>
              </w:rPr>
              <w:t>2、非专门性：没有专门的人员和教育场所</w:t>
            </w:r>
          </w:p>
          <w:p>
            <w:pPr>
              <w:spacing w:line="360" w:lineRule="auto"/>
              <w:jc w:val="left"/>
              <w:rPr>
                <w:rFonts w:hint="eastAsia" w:ascii="宋体" w:hAnsi="宋体" w:cs="微软雅黑"/>
                <w:sz w:val="24"/>
              </w:rPr>
            </w:pPr>
            <w:r>
              <w:rPr>
                <w:rFonts w:hint="eastAsia" w:ascii="宋体" w:hAnsi="宋体" w:cs="微软雅黑"/>
                <w:sz w:val="24"/>
              </w:rPr>
              <w:t>3、无阶级性和等级性：面向全体社会成员</w:t>
            </w:r>
          </w:p>
        </w:tc>
        <w:tc>
          <w:tcPr>
            <w:tcW w:w="3234"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1、鲜明的阶级性</w:t>
            </w:r>
          </w:p>
          <w:p>
            <w:pPr>
              <w:spacing w:line="360" w:lineRule="auto"/>
              <w:jc w:val="left"/>
              <w:rPr>
                <w:rFonts w:hint="eastAsia" w:ascii="宋体" w:hAnsi="宋体" w:cs="微软雅黑"/>
                <w:sz w:val="24"/>
              </w:rPr>
            </w:pPr>
            <w:r>
              <w:rPr>
                <w:rFonts w:hint="eastAsia" w:ascii="宋体" w:hAnsi="宋体" w:cs="微软雅黑"/>
                <w:sz w:val="24"/>
              </w:rPr>
              <w:t>2、学校教育与生产劳动相脱离、相对立</w:t>
            </w:r>
          </w:p>
          <w:p>
            <w:pPr>
              <w:spacing w:line="360" w:lineRule="auto"/>
              <w:jc w:val="left"/>
              <w:rPr>
                <w:rFonts w:hint="eastAsia" w:ascii="宋体" w:hAnsi="宋体" w:cs="微软雅黑"/>
                <w:sz w:val="24"/>
              </w:rPr>
            </w:pPr>
          </w:p>
          <w:p>
            <w:pPr>
              <w:spacing w:line="360" w:lineRule="auto"/>
              <w:jc w:val="left"/>
              <w:rPr>
                <w:rFonts w:hint="eastAsia" w:ascii="宋体" w:hAnsi="宋体" w:cs="微软雅黑"/>
                <w:sz w:val="24"/>
              </w:rPr>
            </w:pPr>
          </w:p>
        </w:tc>
      </w:tr>
    </w:tbl>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考点七  古代中国的教育形态</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auto"/>
            <w:noWrap w:val="0"/>
            <w:vAlign w:val="center"/>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朝代</w:t>
            </w:r>
          </w:p>
        </w:tc>
        <w:tc>
          <w:tcPr>
            <w:tcW w:w="7658" w:type="dxa"/>
            <w:shd w:val="clear" w:color="auto" w:fill="auto"/>
            <w:noWrap w:val="0"/>
            <w:vAlign w:val="center"/>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教育形态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夏代</w:t>
            </w:r>
          </w:p>
        </w:tc>
        <w:tc>
          <w:tcPr>
            <w:tcW w:w="765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最早出现了学校教育的形态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西周</w:t>
            </w:r>
          </w:p>
        </w:tc>
        <w:tc>
          <w:tcPr>
            <w:tcW w:w="765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出现官学体系，六艺（内容：礼、乐、射、御、书、数）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春秋</w:t>
            </w:r>
          </w:p>
        </w:tc>
        <w:tc>
          <w:tcPr>
            <w:tcW w:w="765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私学大兴，以孔子的私学规模最大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西汉</w:t>
            </w:r>
          </w:p>
        </w:tc>
        <w:tc>
          <w:tcPr>
            <w:tcW w:w="765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汉武帝采纳了董仲舒提出的“罢黜百家、独尊儒术”的建议；最高学府：太学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隋唐</w:t>
            </w:r>
          </w:p>
        </w:tc>
        <w:tc>
          <w:tcPr>
            <w:tcW w:w="765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科举制度；六学二馆：培养中央官学的主干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宋代</w:t>
            </w:r>
          </w:p>
        </w:tc>
        <w:tc>
          <w:tcPr>
            <w:tcW w:w="765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国学：程朱理学</w:t>
            </w:r>
          </w:p>
          <w:p>
            <w:pPr>
              <w:spacing w:line="360" w:lineRule="auto"/>
              <w:jc w:val="left"/>
              <w:rPr>
                <w:rFonts w:hint="eastAsia" w:ascii="宋体" w:hAnsi="宋体" w:cs="微软雅黑"/>
                <w:sz w:val="24"/>
              </w:rPr>
            </w:pPr>
            <w:r>
              <w:rPr>
                <w:rFonts w:hint="eastAsia" w:ascii="宋体" w:hAnsi="宋体" w:cs="微软雅黑"/>
                <w:sz w:val="24"/>
              </w:rPr>
              <w:t>教学内容：儒家经典-四书（梦中论大）、五经（诗书礼易春秋）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明代</w:t>
            </w:r>
          </w:p>
        </w:tc>
        <w:tc>
          <w:tcPr>
            <w:tcW w:w="765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八股文，清代废止。</w:t>
            </w:r>
          </w:p>
        </w:tc>
      </w:tr>
    </w:tbl>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 xml:space="preserve">考点八   古代印度的教育形态  </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 辨析</w:t>
      </w:r>
    </w:p>
    <w:p>
      <w:pPr>
        <w:pStyle w:val="2"/>
        <w:spacing w:before="0" w:after="0" w:line="360" w:lineRule="auto"/>
        <w:jc w:val="left"/>
        <w:rPr>
          <w:rFonts w:hint="eastAsia" w:ascii="宋体" w:hAnsi="宋体" w:eastAsia="宋体"/>
          <w:sz w:val="24"/>
        </w:rPr>
      </w:pPr>
      <w:r>
        <w:rPr>
          <w:rFonts w:hint="eastAsia" w:ascii="宋体" w:hAnsi="宋体" w:eastAsia="宋体"/>
          <w:sz w:val="24"/>
        </w:rPr>
        <w:drawing>
          <wp:inline distT="0" distB="0" distL="114300" distR="114300">
            <wp:extent cx="5327650" cy="5480050"/>
            <wp:effectExtent l="0" t="6350" r="0" b="19050"/>
            <wp:docPr id="1" name="图示 1"/>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pPr>
        <w:spacing w:line="360" w:lineRule="auto"/>
        <w:ind w:firstLine="482" w:firstLineChars="200"/>
        <w:jc w:val="left"/>
        <w:rPr>
          <w:rFonts w:hint="eastAsia" w:ascii="宋体" w:hAnsi="宋体" w:cs="微软雅黑"/>
          <w:sz w:val="24"/>
        </w:rPr>
      </w:pPr>
      <w:r>
        <w:rPr>
          <w:rFonts w:hint="eastAsia" w:ascii="宋体" w:hAnsi="宋体" w:cs="微软雅黑"/>
          <w:b/>
          <w:bCs/>
          <w:color w:val="0070C0"/>
          <w:sz w:val="24"/>
        </w:rPr>
        <w:t>注</w:t>
      </w:r>
      <w:r>
        <w:rPr>
          <w:rFonts w:hint="eastAsia" w:ascii="宋体" w:hAnsi="宋体" w:cs="微软雅黑"/>
          <w:sz w:val="24"/>
        </w:rPr>
        <w:t xml:space="preserve">：婆罗门种姓（最高）                    </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刹帝利种姓（军事贵族）</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吠舍种姓（从事工农商业）</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首陀罗种姓（最低）（被剥夺了受教育权）</w:t>
      </w:r>
    </w:p>
    <w:p>
      <w:pPr>
        <w:spacing w:line="360" w:lineRule="auto"/>
        <w:ind w:firstLine="480" w:firstLineChars="200"/>
        <w:jc w:val="left"/>
        <w:rPr>
          <w:rFonts w:hint="eastAsia" w:ascii="宋体" w:hAnsi="宋体" w:cs="微软雅黑"/>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考点九   古代埃及</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三种学校：</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1、宫廷学校</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2、职官学校</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3、文士学校（最多）</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特征：以僧为师、以（书）吏为师</w:t>
      </w:r>
    </w:p>
    <w:p>
      <w:pPr>
        <w:spacing w:line="360" w:lineRule="auto"/>
        <w:ind w:firstLine="482" w:firstLineChars="200"/>
        <w:jc w:val="left"/>
        <w:rPr>
          <w:rFonts w:hint="eastAsia" w:ascii="宋体" w:hAnsi="宋体" w:cs="微软雅黑"/>
          <w:color w:val="000000"/>
          <w:sz w:val="24"/>
        </w:rPr>
      </w:pPr>
      <w:r>
        <w:rPr>
          <w:rFonts w:hint="eastAsia" w:ascii="宋体" w:hAnsi="宋体" w:cs="微软雅黑"/>
          <w:b/>
          <w:bCs/>
          <w:color w:val="0070C0"/>
          <w:sz w:val="24"/>
        </w:rPr>
        <w:t>注</w:t>
      </w:r>
      <w:r>
        <w:rPr>
          <w:rFonts w:hint="eastAsia" w:ascii="宋体" w:hAnsi="宋体" w:cs="微软雅黑"/>
          <w:color w:val="000000"/>
          <w:sz w:val="24"/>
        </w:rPr>
        <w:t>：农民子弟与奴隶子弟没有受教育权</w:t>
      </w:r>
    </w:p>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考点十  古代希腊形态</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9"/>
        <w:gridCol w:w="1665"/>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restart"/>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sz w:val="24"/>
              </w:rPr>
              <w:t>古希腊教育</w:t>
            </w:r>
          </w:p>
        </w:tc>
        <w:tc>
          <w:tcPr>
            <w:tcW w:w="1665" w:type="dxa"/>
            <w:shd w:val="clear" w:color="auto" w:fill="auto"/>
            <w:noWrap w:val="0"/>
            <w:vAlign w:val="center"/>
          </w:tcPr>
          <w:p>
            <w:pPr>
              <w:spacing w:line="360" w:lineRule="auto"/>
              <w:jc w:val="left"/>
              <w:rPr>
                <w:rFonts w:hint="eastAsia" w:ascii="宋体" w:hAnsi="宋体" w:cs="微软雅黑"/>
                <w:sz w:val="24"/>
              </w:rPr>
            </w:pPr>
            <w:r>
              <w:rPr>
                <w:rFonts w:hint="eastAsia" w:ascii="宋体" w:hAnsi="宋体" w:cs="微软雅黑"/>
                <w:b/>
                <w:bCs/>
                <w:color w:val="0070C0"/>
                <w:sz w:val="24"/>
              </w:rPr>
              <w:t>雅典教育</w:t>
            </w:r>
          </w:p>
        </w:tc>
        <w:tc>
          <w:tcPr>
            <w:tcW w:w="627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教育目的：有文化修养和多种才能的政治家和商人</w:t>
            </w:r>
          </w:p>
          <w:p>
            <w:pPr>
              <w:spacing w:line="360" w:lineRule="auto"/>
              <w:jc w:val="left"/>
              <w:rPr>
                <w:rFonts w:hint="eastAsia" w:ascii="宋体" w:hAnsi="宋体" w:cs="微软雅黑"/>
                <w:sz w:val="24"/>
              </w:rPr>
            </w:pPr>
            <w:r>
              <w:rPr>
                <w:rFonts w:hint="eastAsia" w:ascii="宋体" w:hAnsi="宋体" w:cs="微软雅黑"/>
                <w:sz w:val="24"/>
              </w:rPr>
              <w:t>教育内容：丰富</w:t>
            </w:r>
          </w:p>
          <w:p>
            <w:pPr>
              <w:spacing w:line="360" w:lineRule="auto"/>
              <w:jc w:val="left"/>
              <w:rPr>
                <w:rFonts w:hint="eastAsia" w:ascii="宋体" w:hAnsi="宋体" w:cs="微软雅黑"/>
                <w:sz w:val="24"/>
              </w:rPr>
            </w:pPr>
            <w:r>
              <w:rPr>
                <w:rFonts w:hint="eastAsia" w:ascii="宋体" w:hAnsi="宋体" w:cs="微软雅黑"/>
                <w:sz w:val="24"/>
              </w:rPr>
              <w:t>教育方法：灵活</w:t>
            </w:r>
          </w:p>
          <w:p>
            <w:pPr>
              <w:spacing w:line="360" w:lineRule="auto"/>
              <w:jc w:val="left"/>
              <w:rPr>
                <w:rFonts w:hint="eastAsia" w:ascii="宋体" w:hAnsi="宋体" w:cs="微软雅黑"/>
                <w:sz w:val="24"/>
              </w:rPr>
            </w:pPr>
            <w:r>
              <w:rPr>
                <w:rFonts w:hint="eastAsia" w:ascii="宋体" w:hAnsi="宋体" w:cs="微软雅黑"/>
                <w:sz w:val="24"/>
              </w:rPr>
              <w:t>注重身心的和谐发展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vMerge w:val="continue"/>
            <w:shd w:val="clear" w:color="auto" w:fill="auto"/>
            <w:noWrap w:val="0"/>
            <w:vAlign w:val="top"/>
          </w:tcPr>
          <w:p>
            <w:pPr>
              <w:spacing w:line="360" w:lineRule="auto"/>
              <w:jc w:val="left"/>
              <w:rPr>
                <w:rFonts w:hint="eastAsia" w:ascii="宋体" w:hAnsi="宋体" w:cs="微软雅黑"/>
                <w:sz w:val="24"/>
              </w:rPr>
            </w:pPr>
          </w:p>
        </w:tc>
        <w:tc>
          <w:tcPr>
            <w:tcW w:w="1665" w:type="dxa"/>
            <w:shd w:val="clear" w:color="auto" w:fill="auto"/>
            <w:noWrap w:val="0"/>
            <w:vAlign w:val="center"/>
          </w:tcPr>
          <w:p>
            <w:pPr>
              <w:spacing w:line="360" w:lineRule="auto"/>
              <w:jc w:val="left"/>
              <w:rPr>
                <w:rFonts w:hint="eastAsia" w:ascii="宋体" w:hAnsi="宋体" w:cs="微软雅黑"/>
                <w:b/>
                <w:bCs/>
                <w:color w:val="4BACC6"/>
                <w:sz w:val="24"/>
              </w:rPr>
            </w:pPr>
            <w:r>
              <w:rPr>
                <w:rFonts w:hint="eastAsia" w:ascii="宋体" w:hAnsi="宋体" w:cs="微软雅黑"/>
                <w:b/>
                <w:bCs/>
                <w:color w:val="0070C0"/>
                <w:sz w:val="24"/>
              </w:rPr>
              <w:t>斯巴达教育</w:t>
            </w:r>
          </w:p>
          <w:p>
            <w:pPr>
              <w:spacing w:line="360" w:lineRule="auto"/>
              <w:jc w:val="left"/>
              <w:rPr>
                <w:rFonts w:hint="eastAsia" w:ascii="宋体" w:hAnsi="宋体" w:cs="微软雅黑"/>
                <w:sz w:val="24"/>
              </w:rPr>
            </w:pPr>
          </w:p>
        </w:tc>
        <w:tc>
          <w:tcPr>
            <w:tcW w:w="6278" w:type="dxa"/>
            <w:shd w:val="clear" w:color="auto" w:fill="auto"/>
            <w:noWrap w:val="0"/>
            <w:vAlign w:val="top"/>
          </w:tcPr>
          <w:p>
            <w:pPr>
              <w:spacing w:line="360" w:lineRule="auto"/>
              <w:jc w:val="left"/>
              <w:rPr>
                <w:rFonts w:hint="eastAsia" w:ascii="宋体" w:hAnsi="宋体" w:cs="微软雅黑"/>
                <w:sz w:val="24"/>
              </w:rPr>
            </w:pPr>
            <w:r>
              <w:rPr>
                <w:rFonts w:hint="eastAsia" w:ascii="宋体" w:hAnsi="宋体" w:cs="微软雅黑"/>
                <w:sz w:val="24"/>
              </w:rPr>
              <w:t>教育目的：忠于统治阶级的强悍军人</w:t>
            </w:r>
          </w:p>
          <w:p>
            <w:pPr>
              <w:spacing w:line="360" w:lineRule="auto"/>
              <w:jc w:val="left"/>
              <w:rPr>
                <w:rFonts w:hint="eastAsia" w:ascii="宋体" w:hAnsi="宋体" w:cs="微软雅黑"/>
                <w:sz w:val="24"/>
              </w:rPr>
            </w:pPr>
            <w:r>
              <w:rPr>
                <w:rFonts w:hint="eastAsia" w:ascii="宋体" w:hAnsi="宋体" w:cs="微软雅黑"/>
                <w:sz w:val="24"/>
              </w:rPr>
              <w:t>教育内容：单一</w:t>
            </w:r>
          </w:p>
          <w:p>
            <w:pPr>
              <w:spacing w:line="360" w:lineRule="auto"/>
              <w:jc w:val="left"/>
              <w:rPr>
                <w:rFonts w:hint="eastAsia" w:ascii="宋体" w:hAnsi="宋体" w:cs="微软雅黑"/>
                <w:sz w:val="24"/>
              </w:rPr>
            </w:pPr>
            <w:r>
              <w:rPr>
                <w:rFonts w:hint="eastAsia" w:ascii="宋体" w:hAnsi="宋体" w:cs="微软雅黑"/>
                <w:sz w:val="24"/>
              </w:rPr>
              <w:t>教育方法：严厉</w:t>
            </w:r>
          </w:p>
          <w:p>
            <w:pPr>
              <w:spacing w:line="360" w:lineRule="auto"/>
              <w:jc w:val="left"/>
              <w:rPr>
                <w:rFonts w:hint="eastAsia" w:ascii="宋体" w:hAnsi="宋体" w:cs="微软雅黑"/>
                <w:sz w:val="24"/>
              </w:rPr>
            </w:pPr>
            <w:r>
              <w:rPr>
                <w:rFonts w:hint="eastAsia" w:ascii="宋体" w:hAnsi="宋体" w:cs="微软雅黑"/>
                <w:sz w:val="24"/>
              </w:rPr>
              <w:t>强调军事训练和政治道德灌输</w:t>
            </w:r>
          </w:p>
        </w:tc>
      </w:tr>
    </w:tbl>
    <w:p>
      <w:pPr>
        <w:spacing w:line="360" w:lineRule="auto"/>
        <w:ind w:firstLine="480" w:firstLineChars="200"/>
        <w:jc w:val="left"/>
        <w:rPr>
          <w:rFonts w:hint="eastAsia" w:ascii="宋体" w:hAnsi="宋体" w:cs="微软雅黑"/>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考点十一 中世纪的欧洲</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sz w:val="24"/>
        </w:rPr>
      </w:pPr>
      <w:r>
        <w:rPr>
          <w:rFonts w:hint="eastAsia" w:ascii="宋体" w:hAnsi="宋体" w:cs="微软雅黑"/>
          <w:color w:val="000000"/>
          <w:sz w:val="24"/>
        </w:rPr>
        <w:t>中世纪的教育体系主要由</w:t>
      </w:r>
      <w:r>
        <w:rPr>
          <w:rFonts w:hint="eastAsia" w:ascii="宋体" w:hAnsi="宋体" w:cs="微软雅黑"/>
          <w:b/>
          <w:bCs/>
          <w:color w:val="0070C0"/>
          <w:sz w:val="24"/>
        </w:rPr>
        <w:t>教会教育</w:t>
      </w:r>
      <w:r>
        <w:rPr>
          <w:rFonts w:hint="eastAsia" w:ascii="宋体" w:hAnsi="宋体" w:cs="微软雅黑"/>
          <w:color w:val="000000"/>
          <w:sz w:val="24"/>
        </w:rPr>
        <w:t>和</w:t>
      </w:r>
      <w:r>
        <w:rPr>
          <w:rFonts w:hint="eastAsia" w:ascii="宋体" w:hAnsi="宋体" w:cs="微软雅黑"/>
          <w:b/>
          <w:bCs/>
          <w:color w:val="0070C0"/>
          <w:sz w:val="24"/>
        </w:rPr>
        <w:t>骑士教育</w:t>
      </w:r>
      <w:r>
        <w:rPr>
          <w:rFonts w:hint="eastAsia" w:ascii="宋体" w:hAnsi="宋体" w:cs="微软雅黑"/>
          <w:color w:val="000000"/>
          <w:sz w:val="24"/>
        </w:rPr>
        <w:t>两大形式组成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9"/>
        <w:gridCol w:w="3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shd w:val="clear" w:color="auto" w:fill="auto"/>
            <w:noWrap w:val="0"/>
            <w:vAlign w:val="center"/>
          </w:tcPr>
          <w:p>
            <w:pPr>
              <w:spacing w:line="360" w:lineRule="auto"/>
              <w:jc w:val="center"/>
              <w:rPr>
                <w:rFonts w:hint="eastAsia" w:ascii="宋体" w:hAnsi="宋体"/>
                <w:sz w:val="24"/>
              </w:rPr>
            </w:pPr>
            <w:r>
              <w:rPr>
                <w:rFonts w:hint="eastAsia" w:ascii="宋体" w:hAnsi="宋体" w:cs="微软雅黑"/>
                <w:color w:val="000000"/>
                <w:sz w:val="24"/>
              </w:rPr>
              <w:t>中世纪的教育体系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shd w:val="clear" w:color="auto" w:fill="auto"/>
            <w:noWrap w:val="0"/>
            <w:vAlign w:val="top"/>
          </w:tcPr>
          <w:p>
            <w:pPr>
              <w:spacing w:line="360" w:lineRule="auto"/>
              <w:jc w:val="center"/>
              <w:rPr>
                <w:rFonts w:hint="eastAsia" w:ascii="宋体" w:hAnsi="宋体"/>
                <w:sz w:val="24"/>
              </w:rPr>
            </w:pPr>
            <w:r>
              <w:rPr>
                <w:rFonts w:hint="eastAsia" w:ascii="宋体" w:hAnsi="宋体"/>
                <w:sz w:val="24"/>
              </w:rPr>
              <w:t>教会教育</w:t>
            </w:r>
          </w:p>
        </w:tc>
        <w:tc>
          <w:tcPr>
            <w:tcW w:w="3653" w:type="dxa"/>
            <w:shd w:val="clear" w:color="auto" w:fill="auto"/>
            <w:noWrap w:val="0"/>
            <w:vAlign w:val="top"/>
          </w:tcPr>
          <w:p>
            <w:pPr>
              <w:spacing w:line="360" w:lineRule="auto"/>
              <w:jc w:val="center"/>
              <w:rPr>
                <w:rFonts w:hint="eastAsia" w:ascii="宋体" w:hAnsi="宋体"/>
                <w:sz w:val="24"/>
              </w:rPr>
            </w:pPr>
            <w:r>
              <w:rPr>
                <w:rFonts w:hint="eastAsia" w:ascii="宋体" w:hAnsi="宋体"/>
                <w:sz w:val="24"/>
              </w:rPr>
              <w:t>骑士教育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9"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教育目的：培养僧侣人才</w:t>
            </w:r>
          </w:p>
          <w:p>
            <w:pPr>
              <w:spacing w:line="360" w:lineRule="auto"/>
              <w:jc w:val="left"/>
              <w:rPr>
                <w:rFonts w:hint="eastAsia" w:ascii="宋体" w:hAnsi="宋体"/>
                <w:sz w:val="24"/>
              </w:rPr>
            </w:pPr>
            <w:r>
              <w:rPr>
                <w:rFonts w:hint="eastAsia" w:ascii="宋体" w:hAnsi="宋体"/>
                <w:sz w:val="24"/>
              </w:rPr>
              <w:t>教学内容：神学和”七艺（</w:t>
            </w:r>
            <w:r>
              <w:rPr>
                <w:rFonts w:hint="eastAsia" w:ascii="宋体" w:hAnsi="宋体"/>
                <w:color w:val="0070C0"/>
                <w:sz w:val="24"/>
              </w:rPr>
              <w:t>三科：文法、修辞、辩证法；</w:t>
            </w:r>
            <w:r>
              <w:rPr>
                <w:rFonts w:hint="eastAsia" w:ascii="宋体" w:hAnsi="宋体"/>
                <w:color w:val="FF0000"/>
                <w:sz w:val="24"/>
              </w:rPr>
              <w:t>四学：算术、几何、天文、音乐</w:t>
            </w:r>
            <w:r>
              <w:rPr>
                <w:rFonts w:hint="eastAsia" w:ascii="宋体" w:hAnsi="宋体"/>
                <w:sz w:val="24"/>
              </w:rPr>
              <w:t>）</w:t>
            </w:r>
          </w:p>
          <w:p>
            <w:pPr>
              <w:spacing w:line="360" w:lineRule="auto"/>
              <w:jc w:val="left"/>
              <w:rPr>
                <w:rFonts w:hint="eastAsia" w:ascii="宋体" w:hAnsi="宋体"/>
                <w:sz w:val="24"/>
              </w:rPr>
            </w:pPr>
            <w:r>
              <w:rPr>
                <w:rFonts w:hint="eastAsia" w:ascii="宋体" w:hAnsi="宋体"/>
                <w:sz w:val="24"/>
              </w:rPr>
              <w:t>教学方法：背诵</w:t>
            </w:r>
          </w:p>
        </w:tc>
        <w:tc>
          <w:tcPr>
            <w:tcW w:w="3653"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骑士七技：骑马、游泳、击剑、打猎、投枪、下棋、吟诗</w:t>
            </w:r>
          </w:p>
          <w:p>
            <w:pPr>
              <w:spacing w:line="360" w:lineRule="auto"/>
              <w:jc w:val="left"/>
              <w:rPr>
                <w:rFonts w:hint="eastAsia" w:ascii="宋体" w:hAnsi="宋体"/>
                <w:sz w:val="24"/>
              </w:rPr>
            </w:pPr>
            <w:r>
              <w:rPr>
                <w:rFonts w:hint="eastAsia" w:ascii="宋体" w:hAnsi="宋体"/>
                <w:sz w:val="24"/>
              </w:rPr>
              <w:t>（马永健猎枪骑士）</w:t>
            </w:r>
          </w:p>
          <w:p>
            <w:pPr>
              <w:spacing w:line="360" w:lineRule="auto"/>
              <w:jc w:val="left"/>
              <w:rPr>
                <w:rFonts w:hint="eastAsia" w:ascii="宋体" w:hAnsi="宋体"/>
                <w:sz w:val="24"/>
              </w:rPr>
            </w:pPr>
          </w:p>
        </w:tc>
      </w:tr>
    </w:tbl>
    <w:p>
      <w:pPr>
        <w:spacing w:line="360" w:lineRule="auto"/>
        <w:ind w:firstLine="480" w:firstLineChars="200"/>
        <w:jc w:val="left"/>
        <w:rPr>
          <w:rFonts w:hint="eastAsia" w:ascii="宋体" w:hAnsi="宋体"/>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考点十二  近代社会的教育</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 简答</w:t>
      </w:r>
    </w:p>
    <w:p>
      <w:pPr>
        <w:spacing w:line="360" w:lineRule="auto"/>
        <w:ind w:firstLine="480" w:firstLineChars="200"/>
        <w:jc w:val="left"/>
        <w:rPr>
          <w:rFonts w:hint="eastAsia" w:ascii="宋体" w:hAnsi="宋体"/>
          <w:sz w:val="24"/>
        </w:rPr>
      </w:pPr>
      <w:r>
        <w:rPr>
          <w:rFonts w:hint="eastAsia" w:ascii="宋体" w:hAnsi="宋体"/>
          <w:sz w:val="24"/>
        </w:rPr>
        <w:t>（1）国家加强了对教育的重视和干预，公立教育兴起</w:t>
      </w:r>
    </w:p>
    <w:p>
      <w:pPr>
        <w:spacing w:line="360" w:lineRule="auto"/>
        <w:ind w:firstLine="480" w:firstLineChars="200"/>
        <w:jc w:val="left"/>
        <w:rPr>
          <w:rFonts w:hint="eastAsia" w:ascii="宋体" w:hAnsi="宋体"/>
          <w:sz w:val="24"/>
        </w:rPr>
      </w:pPr>
      <w:r>
        <w:rPr>
          <w:rFonts w:hint="eastAsia" w:ascii="宋体" w:hAnsi="宋体"/>
          <w:sz w:val="24"/>
        </w:rPr>
        <w:t>（2）教育走向法制化</w:t>
      </w:r>
    </w:p>
    <w:p>
      <w:pPr>
        <w:spacing w:line="360" w:lineRule="auto"/>
        <w:ind w:firstLine="480" w:firstLineChars="200"/>
        <w:jc w:val="left"/>
        <w:rPr>
          <w:rFonts w:hint="eastAsia" w:ascii="宋体" w:hAnsi="宋体"/>
          <w:sz w:val="24"/>
        </w:rPr>
      </w:pPr>
      <w:r>
        <w:rPr>
          <w:rFonts w:hint="eastAsia" w:ascii="宋体" w:hAnsi="宋体"/>
          <w:sz w:val="24"/>
        </w:rPr>
        <w:t>（3）初等义务教育普及（德国是世界上最早普及义务教育的国家）</w:t>
      </w:r>
    </w:p>
    <w:p>
      <w:pPr>
        <w:spacing w:line="360" w:lineRule="auto"/>
        <w:ind w:firstLine="480" w:firstLineChars="200"/>
        <w:jc w:val="left"/>
        <w:rPr>
          <w:rFonts w:hint="eastAsia" w:ascii="宋体" w:hAnsi="宋体"/>
          <w:sz w:val="24"/>
        </w:rPr>
      </w:pPr>
      <w:r>
        <w:rPr>
          <w:rFonts w:hint="eastAsia" w:ascii="宋体" w:hAnsi="宋体"/>
          <w:sz w:val="24"/>
        </w:rPr>
        <w:t>（4）教育的世俗化（教育从宗教中分离出来）</w:t>
      </w:r>
    </w:p>
    <w:p>
      <w:pPr>
        <w:spacing w:line="360" w:lineRule="auto"/>
        <w:ind w:firstLine="482" w:firstLineChars="200"/>
        <w:jc w:val="left"/>
        <w:rPr>
          <w:rFonts w:hint="eastAsia" w:ascii="宋体" w:hAnsi="宋体"/>
          <w:sz w:val="24"/>
        </w:rPr>
      </w:pPr>
      <w:r>
        <w:rPr>
          <w:rFonts w:hint="eastAsia" w:ascii="宋体" w:hAnsi="宋体"/>
          <w:b/>
          <w:bCs/>
          <w:color w:val="0070C0"/>
          <w:sz w:val="24"/>
        </w:rPr>
        <w:t>记忆口诀</w:t>
      </w:r>
      <w:r>
        <w:rPr>
          <w:rFonts w:hint="eastAsia" w:ascii="宋体" w:hAnsi="宋体"/>
          <w:sz w:val="24"/>
        </w:rPr>
        <w:t>：国法普世</w:t>
      </w:r>
    </w:p>
    <w:p>
      <w:pPr>
        <w:spacing w:line="360" w:lineRule="auto"/>
        <w:ind w:firstLine="480" w:firstLineChars="200"/>
        <w:jc w:val="left"/>
        <w:rPr>
          <w:rFonts w:hint="eastAsia" w:ascii="宋体" w:hAnsi="宋体"/>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考点十三  20世纪以后的教育的特点</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 xml:space="preserve">题型涉及：单选 简答 </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1、教育的终身化—终身学习、终身发展</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2、教育的全民化—人人参与、各种教育</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3、教育的民主化—机会均等、教育自由</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4、教育的多元化—否定单一、拒绝统一</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5、教育技术的现代化</w:t>
      </w:r>
    </w:p>
    <w:p>
      <w:pPr>
        <w:spacing w:line="360" w:lineRule="auto"/>
        <w:ind w:firstLine="482" w:firstLineChars="200"/>
        <w:jc w:val="left"/>
        <w:rPr>
          <w:rFonts w:hint="eastAsia" w:ascii="宋体" w:hAnsi="宋体" w:cs="微软雅黑"/>
          <w:sz w:val="24"/>
        </w:rPr>
      </w:pPr>
      <w:r>
        <w:rPr>
          <w:rFonts w:hint="eastAsia" w:ascii="宋体" w:hAnsi="宋体" w:cs="微软雅黑"/>
          <w:b/>
          <w:bCs/>
          <w:color w:val="0070C0"/>
          <w:sz w:val="24"/>
        </w:rPr>
        <w:t>记忆口诀</w:t>
      </w:r>
      <w:r>
        <w:rPr>
          <w:rFonts w:hint="eastAsia" w:ascii="宋体" w:hAnsi="宋体" w:cs="微软雅黑"/>
          <w:sz w:val="24"/>
        </w:rPr>
        <w:t>：全民多健身</w:t>
      </w:r>
    </w:p>
    <w:p>
      <w:pPr>
        <w:spacing w:line="360" w:lineRule="auto"/>
        <w:ind w:firstLine="480" w:firstLineChars="200"/>
        <w:jc w:val="left"/>
        <w:rPr>
          <w:rFonts w:hint="eastAsia" w:ascii="宋体" w:hAnsi="宋体"/>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 xml:space="preserve">考点十四  教育功能 </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w:t>
      </w:r>
    </w:p>
    <w:p>
      <w:pPr>
        <w:spacing w:line="360" w:lineRule="auto"/>
        <w:jc w:val="left"/>
        <w:rPr>
          <w:rFonts w:hint="eastAsia" w:ascii="宋体" w:hAnsi="宋体"/>
          <w:b/>
          <w:bCs/>
          <w:color w:val="FF0000"/>
          <w:sz w:val="24"/>
        </w:rPr>
      </w:pPr>
      <w:r>
        <w:rPr>
          <w:rFonts w:hint="eastAsia" w:ascii="宋体" w:hAnsi="宋体"/>
          <w:sz w:val="24"/>
        </w:rPr>
        <w:drawing>
          <wp:inline distT="0" distB="0" distL="114300" distR="114300">
            <wp:extent cx="5703570" cy="2182495"/>
            <wp:effectExtent l="0" t="0" r="11430" b="0"/>
            <wp:docPr id="2" name="图示 2"/>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pPr>
        <w:spacing w:line="360" w:lineRule="auto"/>
        <w:ind w:firstLine="482" w:firstLineChars="200"/>
        <w:jc w:val="left"/>
        <w:rPr>
          <w:rFonts w:hint="eastAsia" w:ascii="宋体" w:hAnsi="宋体"/>
          <w:b/>
          <w:bCs/>
          <w:color w:val="FF0000"/>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 xml:space="preserve">考点十五  教育学研究对象 </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sz w:val="24"/>
        </w:rPr>
      </w:pPr>
      <w:r>
        <w:rPr>
          <w:rFonts w:hint="eastAsia" w:ascii="宋体" w:hAnsi="宋体"/>
          <w:sz w:val="24"/>
        </w:rPr>
        <w:t>教育学是研究</w:t>
      </w:r>
      <w:r>
        <w:rPr>
          <w:rFonts w:hint="eastAsia" w:ascii="宋体" w:hAnsi="宋体"/>
          <w:color w:val="0070C0"/>
          <w:sz w:val="24"/>
        </w:rPr>
        <w:t>教育现象和教育问题</w:t>
      </w:r>
      <w:r>
        <w:rPr>
          <w:rFonts w:hint="eastAsia" w:ascii="宋体" w:hAnsi="宋体"/>
          <w:sz w:val="24"/>
        </w:rPr>
        <w:t>，揭示</w:t>
      </w:r>
      <w:r>
        <w:rPr>
          <w:rFonts w:hint="eastAsia" w:ascii="宋体" w:hAnsi="宋体"/>
          <w:color w:val="0070C0"/>
          <w:sz w:val="24"/>
        </w:rPr>
        <w:t>教育规律</w:t>
      </w:r>
      <w:r>
        <w:rPr>
          <w:rFonts w:hint="eastAsia" w:ascii="宋体" w:hAnsi="宋体"/>
          <w:sz w:val="24"/>
        </w:rPr>
        <w:t>的一门学科</w:t>
      </w:r>
    </w:p>
    <w:p>
      <w:pPr>
        <w:spacing w:line="360" w:lineRule="auto"/>
        <w:ind w:firstLine="480" w:firstLineChars="200"/>
        <w:jc w:val="left"/>
        <w:rPr>
          <w:rFonts w:hint="eastAsia" w:ascii="宋体" w:hAnsi="宋体"/>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考点十六  中国古代的教育学思想</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w:t>
      </w:r>
    </w:p>
    <w:p>
      <w:pPr>
        <w:numPr>
          <w:ilvl w:val="0"/>
          <w:numId w:val="1"/>
        </w:num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孔子：《论语》</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教学主张：有教无类、学思结合、启发教学 </w:t>
      </w:r>
    </w:p>
    <w:p>
      <w:pPr>
        <w:numPr>
          <w:ilvl w:val="0"/>
          <w:numId w:val="1"/>
        </w:num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墨家：墨翟以“兼爱”和“非攻”为基本主张，注重实用技术的传习</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途径：亲知、闻知、说知（推理）</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3、道家：教循自然</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4、《学记》是中国教育史上和世界教育史上一部最早、最完整的论述教育教学问题的专著，因此被称为“教育学的雏形”。</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教学主张：启发式教学（“道而弗牵，强而弗抑、开而弗达”、循序渐进 、学不躐等）</w:t>
      </w: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 xml:space="preserve">   </w:t>
      </w: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考点十七  西方古代的教育学思想</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1、昆体良</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西方第一个专门论述教育问题的教育家。</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西方第一本教育专著—《雄辩术原理》（别名：《论演说家的教育》）</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2、苏格拉底</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问答法的三个步骤：</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（1）苏格拉底讽刺；（2）定义；（3）助产术（产婆术）</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西方第一个使用启发式教学的教育家 。</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3、柏拉图，代表作：《理想国》</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4、亚里士多德，古希腊百科全书式的哲学家</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主张：对学生进行和谐的、全面发展的教育。</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考点十八  教育学学科的建立</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3225"/>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251" w:type="dxa"/>
            <w:shd w:val="clear" w:color="auto" w:fill="auto"/>
            <w:noWrap w:val="0"/>
            <w:vAlign w:val="center"/>
          </w:tcPr>
          <w:p>
            <w:pPr>
              <w:spacing w:line="360" w:lineRule="auto"/>
              <w:jc w:val="left"/>
              <w:rPr>
                <w:rFonts w:hint="eastAsia" w:ascii="宋体" w:hAnsi="宋体"/>
                <w:b/>
                <w:bCs/>
                <w:color w:val="0070C0"/>
                <w:sz w:val="24"/>
              </w:rPr>
            </w:pPr>
            <w:r>
              <w:rPr>
                <w:rFonts w:hint="eastAsia" w:ascii="宋体" w:hAnsi="宋体"/>
                <w:b/>
                <w:bCs/>
                <w:color w:val="0070C0"/>
                <w:sz w:val="24"/>
              </w:rPr>
              <w:t>代表人物</w:t>
            </w:r>
          </w:p>
        </w:tc>
        <w:tc>
          <w:tcPr>
            <w:tcW w:w="3225" w:type="dxa"/>
            <w:shd w:val="clear" w:color="auto" w:fill="auto"/>
            <w:noWrap w:val="0"/>
            <w:vAlign w:val="center"/>
          </w:tcPr>
          <w:p>
            <w:pPr>
              <w:spacing w:line="360" w:lineRule="auto"/>
              <w:jc w:val="left"/>
              <w:rPr>
                <w:rFonts w:hint="eastAsia" w:ascii="宋体" w:hAnsi="宋体"/>
                <w:b/>
                <w:bCs/>
                <w:color w:val="0070C0"/>
                <w:sz w:val="24"/>
              </w:rPr>
            </w:pPr>
            <w:r>
              <w:rPr>
                <w:rFonts w:hint="eastAsia" w:ascii="宋体" w:hAnsi="宋体"/>
                <w:b/>
                <w:bCs/>
                <w:color w:val="0070C0"/>
                <w:sz w:val="24"/>
              </w:rPr>
              <w:t>代表著作</w:t>
            </w:r>
          </w:p>
        </w:tc>
        <w:tc>
          <w:tcPr>
            <w:tcW w:w="3888" w:type="dxa"/>
            <w:shd w:val="clear" w:color="auto" w:fill="auto"/>
            <w:noWrap w:val="0"/>
            <w:vAlign w:val="center"/>
          </w:tcPr>
          <w:p>
            <w:pPr>
              <w:spacing w:line="360" w:lineRule="auto"/>
              <w:jc w:val="left"/>
              <w:rPr>
                <w:rFonts w:hint="eastAsia" w:ascii="宋体" w:hAnsi="宋体"/>
                <w:b/>
                <w:bCs/>
                <w:color w:val="0070C0"/>
                <w:sz w:val="24"/>
              </w:rPr>
            </w:pPr>
            <w:r>
              <w:rPr>
                <w:rFonts w:hint="eastAsia" w:ascii="宋体" w:hAnsi="宋体"/>
                <w:b/>
                <w:bCs/>
                <w:color w:val="0070C0"/>
                <w:sz w:val="24"/>
              </w:rPr>
              <w:t>主要教育思想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夸美纽斯</w:t>
            </w:r>
          </w:p>
          <w:p>
            <w:pPr>
              <w:spacing w:line="360" w:lineRule="auto"/>
              <w:jc w:val="left"/>
              <w:rPr>
                <w:rFonts w:hint="eastAsia" w:ascii="宋体" w:hAnsi="宋体"/>
                <w:sz w:val="24"/>
              </w:rPr>
            </w:pPr>
          </w:p>
        </w:tc>
        <w:tc>
          <w:tcPr>
            <w:tcW w:w="3225"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《大教学论》</w:t>
            </w:r>
          </w:p>
          <w:p>
            <w:pPr>
              <w:spacing w:line="360" w:lineRule="auto"/>
              <w:jc w:val="left"/>
              <w:rPr>
                <w:rFonts w:hint="eastAsia" w:ascii="宋体" w:hAnsi="宋体"/>
                <w:sz w:val="24"/>
              </w:rPr>
            </w:pPr>
            <w:r>
              <w:rPr>
                <w:rFonts w:hint="eastAsia" w:ascii="宋体" w:hAnsi="宋体"/>
                <w:sz w:val="24"/>
              </w:rPr>
              <w:t>教育学独立的标志</w:t>
            </w:r>
          </w:p>
          <w:p>
            <w:pPr>
              <w:spacing w:line="360" w:lineRule="auto"/>
              <w:jc w:val="left"/>
              <w:rPr>
                <w:rFonts w:hint="eastAsia" w:ascii="宋体" w:hAnsi="宋体"/>
                <w:sz w:val="24"/>
              </w:rPr>
            </w:pPr>
            <w:r>
              <w:rPr>
                <w:rFonts w:hint="eastAsia" w:ascii="宋体" w:hAnsi="宋体"/>
                <w:sz w:val="24"/>
              </w:rPr>
              <w:t>近代第一本教育学著作</w:t>
            </w:r>
          </w:p>
        </w:tc>
        <w:tc>
          <w:tcPr>
            <w:tcW w:w="3888"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教育要遵循自然</w:t>
            </w:r>
          </w:p>
          <w:p>
            <w:pPr>
              <w:spacing w:line="360" w:lineRule="auto"/>
              <w:jc w:val="left"/>
              <w:rPr>
                <w:rFonts w:hint="eastAsia" w:ascii="宋体" w:hAnsi="宋体"/>
                <w:sz w:val="24"/>
              </w:rPr>
            </w:pPr>
            <w:r>
              <w:rPr>
                <w:rFonts w:hint="eastAsia" w:ascii="宋体" w:hAnsi="宋体"/>
                <w:sz w:val="24"/>
              </w:rPr>
              <w:t>班级授课制</w:t>
            </w:r>
          </w:p>
          <w:p>
            <w:pPr>
              <w:spacing w:line="360" w:lineRule="auto"/>
              <w:jc w:val="left"/>
              <w:rPr>
                <w:rFonts w:hint="eastAsia" w:ascii="宋体" w:hAnsi="宋体"/>
                <w:sz w:val="24"/>
              </w:rPr>
            </w:pPr>
            <w:r>
              <w:rPr>
                <w:rFonts w:hint="eastAsia" w:ascii="宋体" w:hAnsi="宋体"/>
                <w:sz w:val="24"/>
              </w:rPr>
              <w:t>泛智教育“把一切事物交给一切人类的艺术”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卢梭</w:t>
            </w:r>
          </w:p>
          <w:p>
            <w:pPr>
              <w:spacing w:line="360" w:lineRule="auto"/>
              <w:jc w:val="left"/>
              <w:rPr>
                <w:rFonts w:hint="eastAsia" w:ascii="宋体" w:hAnsi="宋体"/>
                <w:sz w:val="24"/>
              </w:rPr>
            </w:pPr>
          </w:p>
        </w:tc>
        <w:tc>
          <w:tcPr>
            <w:tcW w:w="3225"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《爱弥儿》</w:t>
            </w:r>
          </w:p>
          <w:p>
            <w:pPr>
              <w:spacing w:line="360" w:lineRule="auto"/>
              <w:jc w:val="left"/>
              <w:rPr>
                <w:rFonts w:hint="eastAsia" w:ascii="宋体" w:hAnsi="宋体"/>
                <w:sz w:val="24"/>
              </w:rPr>
            </w:pPr>
          </w:p>
        </w:tc>
        <w:tc>
          <w:tcPr>
            <w:tcW w:w="3888"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主张：人性本善</w:t>
            </w:r>
          </w:p>
          <w:p>
            <w:pPr>
              <w:spacing w:line="360" w:lineRule="auto"/>
              <w:jc w:val="left"/>
              <w:rPr>
                <w:rFonts w:hint="eastAsia" w:ascii="宋体" w:hAnsi="宋体"/>
                <w:sz w:val="24"/>
              </w:rPr>
            </w:pPr>
            <w:r>
              <w:rPr>
                <w:rFonts w:hint="eastAsia" w:ascii="宋体" w:hAnsi="宋体"/>
                <w:sz w:val="24"/>
              </w:rPr>
              <w:t>主体：自然教育理论</w:t>
            </w:r>
          </w:p>
          <w:p>
            <w:pPr>
              <w:spacing w:line="360" w:lineRule="auto"/>
              <w:jc w:val="left"/>
              <w:rPr>
                <w:rFonts w:hint="eastAsia" w:ascii="宋体" w:hAnsi="宋体"/>
                <w:sz w:val="24"/>
              </w:rPr>
            </w:pPr>
            <w:r>
              <w:rPr>
                <w:rFonts w:hint="eastAsia" w:ascii="宋体" w:hAnsi="宋体"/>
                <w:sz w:val="24"/>
              </w:rPr>
              <w:t>核心：归于自然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康德</w:t>
            </w:r>
          </w:p>
          <w:p>
            <w:pPr>
              <w:spacing w:line="360" w:lineRule="auto"/>
              <w:jc w:val="left"/>
              <w:rPr>
                <w:rFonts w:hint="eastAsia" w:ascii="宋体" w:hAnsi="宋体"/>
                <w:sz w:val="24"/>
              </w:rPr>
            </w:pPr>
          </w:p>
        </w:tc>
        <w:tc>
          <w:tcPr>
            <w:tcW w:w="3225"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w:t>
            </w:r>
          </w:p>
          <w:p>
            <w:pPr>
              <w:spacing w:line="360" w:lineRule="auto"/>
              <w:jc w:val="left"/>
              <w:rPr>
                <w:rFonts w:hint="eastAsia" w:ascii="宋体" w:hAnsi="宋体"/>
                <w:sz w:val="24"/>
              </w:rPr>
            </w:pPr>
          </w:p>
        </w:tc>
        <w:tc>
          <w:tcPr>
            <w:tcW w:w="3888"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人是唯一需要教育的动物</w:t>
            </w:r>
          </w:p>
          <w:p>
            <w:pPr>
              <w:spacing w:line="360" w:lineRule="auto"/>
              <w:jc w:val="left"/>
              <w:rPr>
                <w:rFonts w:hint="eastAsia" w:ascii="宋体" w:hAnsi="宋体"/>
                <w:sz w:val="24"/>
              </w:rPr>
            </w:pPr>
            <w:r>
              <w:rPr>
                <w:rFonts w:hint="eastAsia" w:ascii="宋体" w:hAnsi="宋体"/>
                <w:sz w:val="24"/>
              </w:rPr>
              <w:t>最早将教育学作为一门课程在大学里讲授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51"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裴斯泰洛齐</w:t>
            </w:r>
          </w:p>
          <w:p>
            <w:pPr>
              <w:spacing w:line="360" w:lineRule="auto"/>
              <w:jc w:val="left"/>
              <w:rPr>
                <w:rFonts w:hint="eastAsia" w:ascii="宋体" w:hAnsi="宋体"/>
                <w:sz w:val="24"/>
              </w:rPr>
            </w:pPr>
            <w:r>
              <w:rPr>
                <w:rFonts w:hint="eastAsia" w:ascii="宋体" w:hAnsi="宋体"/>
                <w:sz w:val="24"/>
              </w:rPr>
              <w:t>（教育实践者）</w:t>
            </w:r>
          </w:p>
        </w:tc>
        <w:tc>
          <w:tcPr>
            <w:tcW w:w="3225"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《林哈德和葛笃德》</w:t>
            </w:r>
          </w:p>
          <w:p>
            <w:pPr>
              <w:spacing w:line="360" w:lineRule="auto"/>
              <w:jc w:val="left"/>
              <w:rPr>
                <w:rFonts w:hint="eastAsia" w:ascii="宋体" w:hAnsi="宋体"/>
                <w:sz w:val="24"/>
              </w:rPr>
            </w:pPr>
          </w:p>
        </w:tc>
        <w:tc>
          <w:tcPr>
            <w:tcW w:w="3888"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世界教育史上第一个明确提出“教育心理学化”的教育家。</w:t>
            </w:r>
          </w:p>
          <w:p>
            <w:pPr>
              <w:spacing w:line="360" w:lineRule="auto"/>
              <w:jc w:val="left"/>
              <w:rPr>
                <w:rFonts w:hint="eastAsia" w:ascii="宋体" w:hAnsi="宋体"/>
                <w:sz w:val="24"/>
              </w:rPr>
            </w:pPr>
            <w:r>
              <w:rPr>
                <w:rFonts w:hint="eastAsia" w:ascii="宋体" w:hAnsi="宋体"/>
                <w:sz w:val="24"/>
              </w:rPr>
              <w:t>首要职责：塑造完整的、富有个性特征的人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51"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洛克</w:t>
            </w:r>
          </w:p>
          <w:p>
            <w:pPr>
              <w:spacing w:line="360" w:lineRule="auto"/>
              <w:jc w:val="left"/>
              <w:rPr>
                <w:rFonts w:hint="eastAsia" w:ascii="宋体" w:hAnsi="宋体"/>
                <w:sz w:val="24"/>
              </w:rPr>
            </w:pPr>
          </w:p>
        </w:tc>
        <w:tc>
          <w:tcPr>
            <w:tcW w:w="3225"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《教育漫话》</w:t>
            </w:r>
          </w:p>
          <w:p>
            <w:pPr>
              <w:spacing w:line="360" w:lineRule="auto"/>
              <w:jc w:val="left"/>
              <w:rPr>
                <w:rFonts w:hint="eastAsia" w:ascii="宋体" w:hAnsi="宋体"/>
                <w:sz w:val="24"/>
              </w:rPr>
            </w:pPr>
          </w:p>
        </w:tc>
        <w:tc>
          <w:tcPr>
            <w:tcW w:w="3888" w:type="dxa"/>
            <w:shd w:val="clear" w:color="auto" w:fill="auto"/>
            <w:noWrap w:val="0"/>
            <w:vAlign w:val="top"/>
          </w:tcPr>
          <w:p>
            <w:pPr>
              <w:spacing w:line="360" w:lineRule="auto"/>
              <w:jc w:val="left"/>
              <w:rPr>
                <w:rFonts w:hint="eastAsia" w:ascii="宋体" w:hAnsi="宋体"/>
                <w:sz w:val="24"/>
              </w:rPr>
            </w:pPr>
            <w:r>
              <w:rPr>
                <w:rFonts w:hint="eastAsia" w:ascii="宋体" w:hAnsi="宋体"/>
                <w:sz w:val="24"/>
              </w:rPr>
              <w:t>①提出“白板说”——后天的教育、环境</w:t>
            </w:r>
          </w:p>
          <w:p>
            <w:pPr>
              <w:spacing w:line="360" w:lineRule="auto"/>
              <w:jc w:val="left"/>
              <w:rPr>
                <w:rFonts w:hint="eastAsia" w:ascii="宋体" w:hAnsi="宋体"/>
                <w:sz w:val="24"/>
              </w:rPr>
            </w:pPr>
            <w:r>
              <w:rPr>
                <w:rFonts w:hint="eastAsia" w:ascii="宋体" w:hAnsi="宋体"/>
                <w:sz w:val="24"/>
              </w:rPr>
              <w:t>②倡导“绅士教育”。</w:t>
            </w:r>
          </w:p>
        </w:tc>
      </w:tr>
    </w:tbl>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考点十九  规范教育学的建立</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sz w:val="24"/>
        </w:rPr>
      </w:pPr>
      <w:r>
        <w:rPr>
          <w:rFonts w:hint="eastAsia" w:ascii="宋体" w:hAnsi="宋体"/>
          <w:sz w:val="24"/>
        </w:rPr>
        <w:t>一、赫尔巴特与《普通教育学》</w:t>
      </w:r>
    </w:p>
    <w:p>
      <w:pPr>
        <w:spacing w:line="360" w:lineRule="auto"/>
        <w:ind w:firstLine="480" w:firstLineChars="200"/>
        <w:jc w:val="left"/>
        <w:rPr>
          <w:rFonts w:hint="eastAsia" w:ascii="宋体" w:hAnsi="宋体"/>
          <w:sz w:val="24"/>
        </w:rPr>
      </w:pPr>
      <w:r>
        <w:rPr>
          <w:rFonts w:hint="eastAsia" w:ascii="宋体" w:hAnsi="宋体"/>
          <w:sz w:val="24"/>
        </w:rPr>
        <w:t>1、地位：被称为“教育学之父”和“科学教育学的创始人”。</w:t>
      </w:r>
    </w:p>
    <w:p>
      <w:pPr>
        <w:spacing w:line="360" w:lineRule="auto"/>
        <w:ind w:firstLine="480" w:firstLineChars="200"/>
        <w:jc w:val="left"/>
        <w:rPr>
          <w:rFonts w:hint="eastAsia" w:ascii="宋体" w:hAnsi="宋体"/>
          <w:sz w:val="24"/>
        </w:rPr>
      </w:pPr>
      <w:r>
        <w:rPr>
          <w:rFonts w:hint="eastAsia" w:ascii="宋体" w:hAnsi="宋体"/>
          <w:sz w:val="24"/>
        </w:rPr>
        <w:t>2、代表作：《普通教育学》标志着规范教育学的建立</w:t>
      </w:r>
    </w:p>
    <w:p>
      <w:pPr>
        <w:spacing w:line="360" w:lineRule="auto"/>
        <w:ind w:firstLine="480" w:firstLineChars="200"/>
        <w:jc w:val="left"/>
        <w:rPr>
          <w:rFonts w:hint="eastAsia" w:ascii="宋体" w:hAnsi="宋体"/>
          <w:sz w:val="24"/>
        </w:rPr>
      </w:pPr>
      <w:r>
        <w:rPr>
          <w:rFonts w:hint="eastAsia" w:ascii="宋体" w:hAnsi="宋体"/>
          <w:sz w:val="24"/>
        </w:rPr>
        <w:t>3、理论基础：伦理学和心理学</w:t>
      </w:r>
    </w:p>
    <w:p>
      <w:pPr>
        <w:spacing w:line="360" w:lineRule="auto"/>
        <w:ind w:firstLine="480" w:firstLineChars="200"/>
        <w:jc w:val="left"/>
        <w:rPr>
          <w:rFonts w:hint="eastAsia" w:ascii="宋体" w:hAnsi="宋体"/>
          <w:sz w:val="24"/>
        </w:rPr>
      </w:pPr>
      <w:r>
        <w:rPr>
          <w:rFonts w:hint="eastAsia" w:ascii="宋体" w:hAnsi="宋体"/>
          <w:sz w:val="24"/>
        </w:rPr>
        <w:t>4、四段教学法：明了、联合、系统、方法</w:t>
      </w:r>
    </w:p>
    <w:p>
      <w:pPr>
        <w:spacing w:line="360" w:lineRule="auto"/>
        <w:ind w:firstLine="480" w:firstLineChars="200"/>
        <w:jc w:val="left"/>
        <w:rPr>
          <w:rFonts w:hint="eastAsia" w:ascii="宋体" w:hAnsi="宋体"/>
          <w:sz w:val="24"/>
        </w:rPr>
      </w:pPr>
      <w:r>
        <w:rPr>
          <w:rFonts w:hint="eastAsia" w:ascii="宋体" w:hAnsi="宋体"/>
          <w:sz w:val="24"/>
        </w:rPr>
        <w:t>5、特点：教师、教材、课堂为中心</w:t>
      </w:r>
    </w:p>
    <w:p>
      <w:pPr>
        <w:spacing w:line="360" w:lineRule="auto"/>
        <w:ind w:firstLine="482" w:firstLineChars="200"/>
        <w:jc w:val="left"/>
        <w:rPr>
          <w:rFonts w:hint="eastAsia" w:ascii="宋体" w:hAnsi="宋体"/>
          <w:sz w:val="24"/>
        </w:rPr>
      </w:pPr>
      <w:r>
        <w:rPr>
          <w:rFonts w:hint="eastAsia" w:ascii="宋体" w:hAnsi="宋体"/>
          <w:b/>
          <w:bCs/>
          <w:color w:val="0070C0"/>
          <w:sz w:val="24"/>
        </w:rPr>
        <w:t>——传统教育学的代表</w:t>
      </w:r>
    </w:p>
    <w:p>
      <w:pPr>
        <w:spacing w:line="360" w:lineRule="auto"/>
        <w:ind w:firstLine="480" w:firstLineChars="200"/>
        <w:jc w:val="left"/>
        <w:rPr>
          <w:rFonts w:hint="eastAsia" w:ascii="宋体" w:hAnsi="宋体"/>
          <w:sz w:val="24"/>
        </w:rPr>
      </w:pPr>
      <w:r>
        <w:rPr>
          <w:rFonts w:hint="eastAsia" w:ascii="宋体" w:hAnsi="宋体"/>
          <w:sz w:val="24"/>
        </w:rPr>
        <w:t>二、杜威与《民主主义教育学》</w:t>
      </w:r>
    </w:p>
    <w:p>
      <w:pPr>
        <w:spacing w:line="360" w:lineRule="auto"/>
        <w:ind w:firstLine="480" w:firstLineChars="200"/>
        <w:jc w:val="left"/>
        <w:rPr>
          <w:rFonts w:hint="eastAsia" w:ascii="宋体" w:hAnsi="宋体"/>
          <w:sz w:val="24"/>
        </w:rPr>
      </w:pPr>
      <w:r>
        <w:rPr>
          <w:rFonts w:hint="eastAsia" w:ascii="宋体" w:hAnsi="宋体"/>
          <w:sz w:val="24"/>
        </w:rPr>
        <w:t>1、地位：现代教育的代表人物</w:t>
      </w:r>
    </w:p>
    <w:p>
      <w:pPr>
        <w:spacing w:line="360" w:lineRule="auto"/>
        <w:ind w:firstLine="480" w:firstLineChars="200"/>
        <w:jc w:val="left"/>
        <w:rPr>
          <w:rFonts w:hint="eastAsia" w:ascii="宋体" w:hAnsi="宋体"/>
          <w:sz w:val="24"/>
        </w:rPr>
      </w:pPr>
      <w:r>
        <w:rPr>
          <w:rFonts w:hint="eastAsia" w:ascii="宋体" w:hAnsi="宋体"/>
          <w:sz w:val="24"/>
        </w:rPr>
        <w:t>2、代表作：《民主主义教育学》</w:t>
      </w:r>
    </w:p>
    <w:p>
      <w:pPr>
        <w:spacing w:line="360" w:lineRule="auto"/>
        <w:ind w:firstLine="480" w:firstLineChars="200"/>
        <w:jc w:val="left"/>
        <w:rPr>
          <w:rFonts w:hint="eastAsia" w:ascii="宋体" w:hAnsi="宋体"/>
          <w:sz w:val="24"/>
        </w:rPr>
      </w:pPr>
      <w:r>
        <w:rPr>
          <w:rFonts w:hint="eastAsia" w:ascii="宋体" w:hAnsi="宋体"/>
          <w:sz w:val="24"/>
        </w:rPr>
        <w:t>3、主张：教育即生活—教育是为当下的生活服务</w:t>
      </w:r>
    </w:p>
    <w:p>
      <w:pPr>
        <w:spacing w:line="360" w:lineRule="auto"/>
        <w:ind w:firstLine="480" w:firstLineChars="200"/>
        <w:jc w:val="left"/>
        <w:rPr>
          <w:rFonts w:hint="eastAsia" w:ascii="宋体" w:hAnsi="宋体"/>
          <w:sz w:val="24"/>
        </w:rPr>
      </w:pPr>
      <w:r>
        <w:rPr>
          <w:rFonts w:hint="eastAsia" w:ascii="宋体" w:hAnsi="宋体"/>
          <w:sz w:val="24"/>
        </w:rPr>
        <w:t>4、特点：强调儿童在教育中的中心地位</w:t>
      </w:r>
    </w:p>
    <w:p>
      <w:pPr>
        <w:spacing w:line="360" w:lineRule="auto"/>
        <w:ind w:firstLine="480" w:firstLineChars="200"/>
        <w:jc w:val="left"/>
        <w:rPr>
          <w:rFonts w:hint="eastAsia" w:ascii="宋体" w:hAnsi="宋体"/>
          <w:sz w:val="24"/>
        </w:rPr>
      </w:pPr>
      <w:r>
        <w:rPr>
          <w:rFonts w:hint="eastAsia" w:ascii="宋体" w:hAnsi="宋体"/>
          <w:sz w:val="24"/>
        </w:rPr>
        <w:t>“儿童主义中心著称”</w:t>
      </w:r>
    </w:p>
    <w:p>
      <w:p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——现代教育学的代表</w:t>
      </w:r>
    </w:p>
    <w:p>
      <w:pPr>
        <w:spacing w:line="360" w:lineRule="auto"/>
        <w:ind w:firstLine="482" w:firstLineChars="200"/>
        <w:jc w:val="left"/>
        <w:rPr>
          <w:rFonts w:hint="eastAsia" w:ascii="宋体" w:hAnsi="宋体"/>
          <w:b/>
          <w:bCs/>
          <w:color w:val="0070C0"/>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考点二十  马克思主义教育学的发展</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850"/>
        <w:gridCol w:w="3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noWrap w:val="0"/>
            <w:vAlign w:val="center"/>
          </w:tcPr>
          <w:p>
            <w:pPr>
              <w:spacing w:line="360" w:lineRule="auto"/>
              <w:jc w:val="left"/>
              <w:rPr>
                <w:rFonts w:hint="eastAsia" w:ascii="宋体" w:hAnsi="宋体"/>
                <w:b/>
                <w:bCs/>
                <w:color w:val="0070C0"/>
                <w:sz w:val="24"/>
              </w:rPr>
            </w:pPr>
            <w:r>
              <w:rPr>
                <w:rFonts w:hint="eastAsia" w:ascii="宋体" w:hAnsi="宋体"/>
                <w:b/>
                <w:bCs/>
                <w:color w:val="0070C0"/>
                <w:sz w:val="24"/>
              </w:rPr>
              <w:t>人物</w:t>
            </w:r>
          </w:p>
        </w:tc>
        <w:tc>
          <w:tcPr>
            <w:tcW w:w="2850" w:type="dxa"/>
            <w:shd w:val="clear" w:color="auto" w:fill="auto"/>
            <w:noWrap w:val="0"/>
            <w:vAlign w:val="center"/>
          </w:tcPr>
          <w:p>
            <w:pPr>
              <w:spacing w:line="360" w:lineRule="auto"/>
              <w:jc w:val="left"/>
              <w:rPr>
                <w:rFonts w:hint="eastAsia" w:ascii="宋体" w:hAnsi="宋体"/>
                <w:b/>
                <w:bCs/>
                <w:color w:val="0070C0"/>
                <w:sz w:val="24"/>
              </w:rPr>
            </w:pPr>
            <w:r>
              <w:rPr>
                <w:rFonts w:hint="eastAsia" w:ascii="宋体" w:hAnsi="宋体"/>
                <w:b/>
                <w:bCs/>
                <w:color w:val="0070C0"/>
                <w:sz w:val="24"/>
              </w:rPr>
              <w:t>著作</w:t>
            </w:r>
          </w:p>
        </w:tc>
        <w:tc>
          <w:tcPr>
            <w:tcW w:w="3863" w:type="dxa"/>
            <w:shd w:val="clear" w:color="auto" w:fill="auto"/>
            <w:noWrap w:val="0"/>
            <w:vAlign w:val="center"/>
          </w:tcPr>
          <w:p>
            <w:pPr>
              <w:spacing w:line="360" w:lineRule="auto"/>
              <w:jc w:val="left"/>
              <w:rPr>
                <w:rFonts w:hint="eastAsia" w:ascii="宋体" w:hAnsi="宋体"/>
                <w:b/>
                <w:bCs/>
                <w:color w:val="0070C0"/>
                <w:sz w:val="24"/>
              </w:rPr>
            </w:pPr>
            <w:r>
              <w:rPr>
                <w:rFonts w:hint="eastAsia" w:ascii="宋体" w:hAnsi="宋体"/>
                <w:b/>
                <w:bCs/>
                <w:color w:val="0070C0"/>
                <w:sz w:val="24"/>
              </w:rPr>
              <w:t>观点/地位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noWrap w:val="0"/>
            <w:vAlign w:val="center"/>
          </w:tcPr>
          <w:p>
            <w:pPr>
              <w:spacing w:line="360" w:lineRule="auto"/>
              <w:jc w:val="left"/>
              <w:rPr>
                <w:rFonts w:hint="eastAsia" w:ascii="宋体" w:hAnsi="宋体"/>
                <w:color w:val="000000"/>
                <w:sz w:val="24"/>
              </w:rPr>
            </w:pPr>
            <w:r>
              <w:rPr>
                <w:rFonts w:hint="eastAsia" w:ascii="宋体" w:hAnsi="宋体"/>
                <w:color w:val="000000"/>
                <w:sz w:val="24"/>
              </w:rPr>
              <w:t>克鲁普斯卡娅</w:t>
            </w:r>
          </w:p>
        </w:tc>
        <w:tc>
          <w:tcPr>
            <w:tcW w:w="2850" w:type="dxa"/>
            <w:shd w:val="clear" w:color="auto" w:fill="auto"/>
            <w:noWrap w:val="0"/>
            <w:vAlign w:val="top"/>
          </w:tcPr>
          <w:p>
            <w:pPr>
              <w:spacing w:line="360" w:lineRule="auto"/>
              <w:jc w:val="left"/>
              <w:rPr>
                <w:rFonts w:hint="eastAsia" w:ascii="宋体" w:hAnsi="宋体"/>
                <w:color w:val="000000"/>
                <w:sz w:val="24"/>
              </w:rPr>
            </w:pPr>
            <w:r>
              <w:rPr>
                <w:rFonts w:hint="eastAsia" w:ascii="宋体" w:hAnsi="宋体"/>
                <w:color w:val="000000"/>
                <w:sz w:val="24"/>
              </w:rPr>
              <w:t>《国民教育与民主制度》</w:t>
            </w:r>
          </w:p>
        </w:tc>
        <w:tc>
          <w:tcPr>
            <w:tcW w:w="3863" w:type="dxa"/>
            <w:shd w:val="clear" w:color="auto" w:fill="auto"/>
            <w:noWrap w:val="0"/>
            <w:vAlign w:val="top"/>
          </w:tcPr>
          <w:p>
            <w:pPr>
              <w:spacing w:line="360" w:lineRule="auto"/>
              <w:jc w:val="left"/>
              <w:rPr>
                <w:rFonts w:hint="eastAsia" w:ascii="宋体" w:hAnsi="宋体"/>
                <w:color w:val="000000"/>
                <w:sz w:val="24"/>
              </w:rPr>
            </w:pPr>
            <w:r>
              <w:rPr>
                <w:rFonts w:hint="eastAsia" w:ascii="宋体" w:hAnsi="宋体"/>
                <w:color w:val="000000"/>
                <w:sz w:val="24"/>
              </w:rPr>
              <w:t>以马克思主义为基础最早探讨教育学问题的著作。</w:t>
            </w:r>
          </w:p>
          <w:p>
            <w:pPr>
              <w:spacing w:line="360" w:lineRule="auto"/>
              <w:jc w:val="left"/>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noWrap w:val="0"/>
            <w:vAlign w:val="center"/>
          </w:tcPr>
          <w:p>
            <w:pPr>
              <w:spacing w:line="360" w:lineRule="auto"/>
              <w:jc w:val="left"/>
              <w:rPr>
                <w:rFonts w:hint="eastAsia" w:ascii="宋体" w:hAnsi="宋体"/>
                <w:color w:val="000000"/>
                <w:sz w:val="24"/>
              </w:rPr>
            </w:pPr>
            <w:r>
              <w:rPr>
                <w:rFonts w:hint="eastAsia" w:ascii="宋体" w:hAnsi="宋体"/>
                <w:color w:val="000000"/>
                <w:sz w:val="24"/>
              </w:rPr>
              <w:t>马卡连柯</w:t>
            </w:r>
          </w:p>
        </w:tc>
        <w:tc>
          <w:tcPr>
            <w:tcW w:w="2850" w:type="dxa"/>
            <w:shd w:val="clear" w:color="auto" w:fill="auto"/>
            <w:noWrap w:val="0"/>
            <w:vAlign w:val="top"/>
          </w:tcPr>
          <w:p>
            <w:pPr>
              <w:spacing w:line="360" w:lineRule="auto"/>
              <w:jc w:val="left"/>
              <w:rPr>
                <w:rFonts w:hint="eastAsia" w:ascii="宋体" w:hAnsi="宋体"/>
                <w:color w:val="000000"/>
                <w:sz w:val="24"/>
              </w:rPr>
            </w:pPr>
            <w:r>
              <w:rPr>
                <w:rFonts w:hint="eastAsia" w:ascii="宋体" w:hAnsi="宋体"/>
                <w:color w:val="000000"/>
                <w:sz w:val="24"/>
              </w:rPr>
              <w:t>《论共产主义教育》</w:t>
            </w:r>
          </w:p>
          <w:p>
            <w:pPr>
              <w:spacing w:line="360" w:lineRule="auto"/>
              <w:jc w:val="left"/>
              <w:rPr>
                <w:rFonts w:hint="eastAsia" w:ascii="宋体" w:hAnsi="宋体"/>
                <w:color w:val="000000"/>
                <w:sz w:val="24"/>
              </w:rPr>
            </w:pPr>
            <w:r>
              <w:rPr>
                <w:rFonts w:hint="eastAsia" w:ascii="宋体" w:hAnsi="宋体"/>
                <w:color w:val="000000"/>
                <w:sz w:val="24"/>
              </w:rPr>
              <w:t>《教育诗》</w:t>
            </w:r>
          </w:p>
        </w:tc>
        <w:tc>
          <w:tcPr>
            <w:tcW w:w="3863" w:type="dxa"/>
            <w:shd w:val="clear" w:color="auto" w:fill="auto"/>
            <w:noWrap w:val="0"/>
            <w:vAlign w:val="top"/>
          </w:tcPr>
          <w:p>
            <w:pPr>
              <w:spacing w:line="360" w:lineRule="auto"/>
              <w:jc w:val="left"/>
              <w:rPr>
                <w:rFonts w:hint="eastAsia" w:ascii="宋体" w:hAnsi="宋体"/>
                <w:color w:val="000000"/>
                <w:sz w:val="24"/>
              </w:rPr>
            </w:pPr>
            <w:r>
              <w:rPr>
                <w:rFonts w:hint="eastAsia" w:ascii="宋体" w:hAnsi="宋体"/>
                <w:color w:val="000000"/>
                <w:sz w:val="24"/>
              </w:rPr>
              <w:t>他在流浪儿童和违法者的改造方面做出了杰出贡献，其核心教育思想是集体主义教育。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noWrap w:val="0"/>
            <w:vAlign w:val="center"/>
          </w:tcPr>
          <w:p>
            <w:pPr>
              <w:spacing w:line="360" w:lineRule="auto"/>
              <w:jc w:val="left"/>
              <w:rPr>
                <w:rFonts w:hint="eastAsia" w:ascii="宋体" w:hAnsi="宋体"/>
                <w:color w:val="000000"/>
                <w:sz w:val="24"/>
              </w:rPr>
            </w:pPr>
            <w:r>
              <w:rPr>
                <w:rFonts w:hint="eastAsia" w:ascii="宋体" w:hAnsi="宋体"/>
                <w:color w:val="000000"/>
                <w:sz w:val="24"/>
              </w:rPr>
              <w:t>凯洛夫</w:t>
            </w:r>
          </w:p>
        </w:tc>
        <w:tc>
          <w:tcPr>
            <w:tcW w:w="2850" w:type="dxa"/>
            <w:shd w:val="clear" w:color="auto" w:fill="auto"/>
            <w:noWrap w:val="0"/>
            <w:vAlign w:val="top"/>
          </w:tcPr>
          <w:p>
            <w:pPr>
              <w:spacing w:line="360" w:lineRule="auto"/>
              <w:jc w:val="left"/>
              <w:rPr>
                <w:rFonts w:hint="eastAsia" w:ascii="宋体" w:hAnsi="宋体"/>
                <w:color w:val="000000"/>
                <w:sz w:val="24"/>
              </w:rPr>
            </w:pPr>
            <w:r>
              <w:rPr>
                <w:rFonts w:hint="eastAsia" w:ascii="宋体" w:hAnsi="宋体"/>
                <w:color w:val="000000"/>
                <w:sz w:val="24"/>
              </w:rPr>
              <w:t>《教育学》</w:t>
            </w:r>
          </w:p>
        </w:tc>
        <w:tc>
          <w:tcPr>
            <w:tcW w:w="3863" w:type="dxa"/>
            <w:shd w:val="clear" w:color="auto" w:fill="auto"/>
            <w:noWrap w:val="0"/>
            <w:vAlign w:val="top"/>
          </w:tcPr>
          <w:p>
            <w:pPr>
              <w:spacing w:line="360" w:lineRule="auto"/>
              <w:jc w:val="left"/>
              <w:rPr>
                <w:rFonts w:hint="eastAsia" w:ascii="宋体" w:hAnsi="宋体"/>
                <w:color w:val="000000"/>
                <w:sz w:val="24"/>
              </w:rPr>
            </w:pPr>
            <w:r>
              <w:rPr>
                <w:rFonts w:hint="eastAsia" w:ascii="宋体" w:hAnsi="宋体"/>
                <w:color w:val="000000"/>
                <w:sz w:val="24"/>
              </w:rPr>
              <w:t>该书被公认为世界上第一部马克思主义的教育学著作。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dxa"/>
            <w:shd w:val="clear" w:color="auto" w:fill="auto"/>
            <w:noWrap w:val="0"/>
            <w:vAlign w:val="center"/>
          </w:tcPr>
          <w:p>
            <w:pPr>
              <w:spacing w:line="360" w:lineRule="auto"/>
              <w:jc w:val="left"/>
              <w:rPr>
                <w:rFonts w:hint="eastAsia" w:ascii="宋体" w:hAnsi="宋体"/>
                <w:color w:val="000000"/>
                <w:sz w:val="24"/>
              </w:rPr>
            </w:pPr>
            <w:r>
              <w:rPr>
                <w:rFonts w:hint="eastAsia" w:ascii="宋体" w:hAnsi="宋体"/>
                <w:color w:val="000000"/>
                <w:sz w:val="24"/>
              </w:rPr>
              <w:t>杨贤江</w:t>
            </w:r>
          </w:p>
          <w:p>
            <w:pPr>
              <w:spacing w:line="360" w:lineRule="auto"/>
              <w:jc w:val="left"/>
              <w:rPr>
                <w:rFonts w:hint="eastAsia" w:ascii="宋体" w:hAnsi="宋体"/>
                <w:color w:val="000000"/>
                <w:sz w:val="24"/>
              </w:rPr>
            </w:pPr>
            <w:r>
              <w:rPr>
                <w:rFonts w:hint="eastAsia" w:ascii="宋体" w:hAnsi="宋体"/>
                <w:color w:val="000000"/>
                <w:sz w:val="24"/>
              </w:rPr>
              <w:t>（李浩吾）</w:t>
            </w:r>
          </w:p>
        </w:tc>
        <w:tc>
          <w:tcPr>
            <w:tcW w:w="2850" w:type="dxa"/>
            <w:shd w:val="clear" w:color="auto" w:fill="auto"/>
            <w:noWrap w:val="0"/>
            <w:vAlign w:val="top"/>
          </w:tcPr>
          <w:p>
            <w:pPr>
              <w:spacing w:line="360" w:lineRule="auto"/>
              <w:jc w:val="left"/>
              <w:rPr>
                <w:rFonts w:hint="eastAsia" w:ascii="宋体" w:hAnsi="宋体"/>
                <w:color w:val="000000"/>
                <w:sz w:val="24"/>
              </w:rPr>
            </w:pPr>
            <w:r>
              <w:rPr>
                <w:rFonts w:hint="eastAsia" w:ascii="宋体" w:hAnsi="宋体"/>
                <w:color w:val="000000"/>
                <w:sz w:val="24"/>
              </w:rPr>
              <w:t>《新教育大纲》</w:t>
            </w:r>
          </w:p>
        </w:tc>
        <w:tc>
          <w:tcPr>
            <w:tcW w:w="3863" w:type="dxa"/>
            <w:shd w:val="clear" w:color="auto" w:fill="auto"/>
            <w:noWrap w:val="0"/>
            <w:vAlign w:val="top"/>
          </w:tcPr>
          <w:p>
            <w:pPr>
              <w:spacing w:line="360" w:lineRule="auto"/>
              <w:jc w:val="left"/>
              <w:rPr>
                <w:rFonts w:hint="eastAsia" w:ascii="宋体" w:hAnsi="宋体"/>
                <w:color w:val="000000"/>
                <w:sz w:val="24"/>
              </w:rPr>
            </w:pPr>
            <w:r>
              <w:rPr>
                <w:rFonts w:hint="eastAsia" w:ascii="宋体" w:hAnsi="宋体"/>
                <w:color w:val="000000"/>
                <w:sz w:val="24"/>
              </w:rPr>
              <w:t>我国第一本马克思主义的教育学著作</w:t>
            </w:r>
          </w:p>
        </w:tc>
      </w:tr>
    </w:tbl>
    <w:p>
      <w:pPr>
        <w:spacing w:line="360" w:lineRule="auto"/>
        <w:ind w:firstLine="482" w:firstLineChars="200"/>
        <w:jc w:val="left"/>
        <w:rPr>
          <w:rFonts w:hint="eastAsia" w:ascii="宋体" w:hAnsi="宋体"/>
          <w:b/>
          <w:bCs/>
          <w:color w:val="0070C0"/>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考点二十一  当代教育学理论的发展</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w:t>
      </w:r>
    </w:p>
    <w:p>
      <w:p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智力皮  终身朗</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（皮亚杰的智力发展理论、保罗朗格朗的终身发展引论）</w:t>
      </w:r>
    </w:p>
    <w:p>
      <w:p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纳有结构</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（布鲁纳的结构主义）</w:t>
      </w:r>
    </w:p>
    <w:p>
      <w:p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高度赞发展  瓦根找范例</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（赞可夫的五大发展理论和发展理论，瓦根舍因的范例教学法）</w:t>
      </w:r>
    </w:p>
    <w:p>
      <w:p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全面发展好司机</w:t>
      </w:r>
    </w:p>
    <w:p>
      <w:pPr>
        <w:spacing w:line="360" w:lineRule="auto"/>
        <w:ind w:firstLine="480" w:firstLineChars="200"/>
        <w:jc w:val="left"/>
        <w:rPr>
          <w:rFonts w:hint="eastAsia" w:ascii="宋体" w:hAnsi="宋体"/>
          <w:color w:val="000000"/>
          <w:sz w:val="24"/>
        </w:rPr>
      </w:pPr>
      <w:r>
        <w:rPr>
          <w:rFonts w:hint="eastAsia" w:ascii="宋体" w:hAnsi="宋体"/>
          <w:color w:val="000000"/>
          <w:sz w:val="24"/>
        </w:rPr>
        <w:t>（苏霍姆林斯基的全面发展理论）</w:t>
      </w:r>
    </w:p>
    <w:p>
      <w:pPr>
        <w:spacing w:line="360" w:lineRule="auto"/>
        <w:ind w:firstLine="482" w:firstLineChars="200"/>
        <w:jc w:val="left"/>
        <w:rPr>
          <w:rFonts w:hint="eastAsia" w:ascii="宋体" w:hAnsi="宋体"/>
          <w:b/>
          <w:bCs/>
          <w:color w:val="FF0000"/>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 xml:space="preserve">考点二十二  教育与社会的发展 </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 辨析 简答</w:t>
      </w:r>
    </w:p>
    <w:p>
      <w:pPr>
        <w:spacing w:line="360" w:lineRule="auto"/>
        <w:ind w:firstLine="480" w:firstLineChars="200"/>
        <w:jc w:val="left"/>
        <w:rPr>
          <w:rFonts w:hint="eastAsia" w:ascii="宋体" w:hAnsi="宋体"/>
          <w:sz w:val="24"/>
        </w:rPr>
      </w:pPr>
      <w:r>
        <w:rPr>
          <w:rFonts w:hint="eastAsia" w:ascii="宋体" w:hAnsi="宋体"/>
          <w:sz w:val="24"/>
        </w:rPr>
        <w:t>社会四要素：政治经济制度、生产力、人口、文化</w:t>
      </w:r>
    </w:p>
    <w:p>
      <w:p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1、教育和政治的相互关系</w:t>
      </w:r>
    </w:p>
    <w:p>
      <w:pPr>
        <w:spacing w:line="360" w:lineRule="auto"/>
        <w:ind w:firstLine="480" w:firstLineChars="200"/>
        <w:jc w:val="left"/>
        <w:rPr>
          <w:rFonts w:hint="eastAsia" w:ascii="宋体" w:hAnsi="宋体"/>
          <w:sz w:val="24"/>
        </w:rPr>
      </w:pPr>
      <w:r>
        <w:rPr>
          <w:rFonts w:hint="eastAsia" w:ascii="宋体" w:hAnsi="宋体"/>
          <w:sz w:val="24"/>
        </w:rPr>
        <w:t>政治对教育的作用</w:t>
      </w:r>
    </w:p>
    <w:p>
      <w:pPr>
        <w:spacing w:line="360" w:lineRule="auto"/>
        <w:ind w:firstLine="480" w:firstLineChars="200"/>
        <w:jc w:val="left"/>
        <w:rPr>
          <w:rFonts w:hint="eastAsia" w:ascii="宋体" w:hAnsi="宋体"/>
          <w:sz w:val="24"/>
        </w:rPr>
      </w:pPr>
      <w:r>
        <w:rPr>
          <w:rFonts w:hint="eastAsia" w:ascii="宋体" w:hAnsi="宋体"/>
          <w:sz w:val="24"/>
        </w:rPr>
        <w:t>政治决定教育的领导权、受教育权、教育目的</w:t>
      </w:r>
    </w:p>
    <w:p>
      <w:pPr>
        <w:spacing w:line="360" w:lineRule="auto"/>
        <w:ind w:firstLine="480" w:firstLineChars="200"/>
        <w:jc w:val="left"/>
        <w:rPr>
          <w:rFonts w:hint="eastAsia" w:ascii="宋体" w:hAnsi="宋体"/>
          <w:sz w:val="24"/>
        </w:rPr>
      </w:pPr>
      <w:r>
        <w:rPr>
          <w:rFonts w:hint="eastAsia" w:ascii="宋体" w:hAnsi="宋体"/>
          <w:sz w:val="24"/>
        </w:rPr>
        <w:t>教育对政治的作用（教育的政治功能）</w:t>
      </w:r>
    </w:p>
    <w:p>
      <w:pPr>
        <w:spacing w:line="360" w:lineRule="auto"/>
        <w:ind w:firstLine="480" w:firstLineChars="200"/>
        <w:jc w:val="left"/>
        <w:rPr>
          <w:rFonts w:hint="eastAsia" w:ascii="宋体" w:hAnsi="宋体"/>
          <w:sz w:val="24"/>
        </w:rPr>
      </w:pPr>
      <w:r>
        <w:rPr>
          <w:rFonts w:hint="eastAsia" w:ascii="宋体" w:hAnsi="宋体"/>
          <w:sz w:val="24"/>
        </w:rPr>
        <w:t>教育可以为政治培养人才、制造舆论、促进政治民主。</w:t>
      </w:r>
    </w:p>
    <w:p>
      <w:pPr>
        <w:numPr>
          <w:ilvl w:val="0"/>
          <w:numId w:val="2"/>
        </w:num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教育和生产力的相互关系</w:t>
      </w:r>
    </w:p>
    <w:p>
      <w:pPr>
        <w:spacing w:line="360" w:lineRule="auto"/>
        <w:ind w:firstLine="480" w:firstLineChars="200"/>
        <w:jc w:val="left"/>
        <w:rPr>
          <w:rFonts w:hint="eastAsia" w:ascii="宋体" w:hAnsi="宋体"/>
          <w:sz w:val="24"/>
        </w:rPr>
      </w:pPr>
      <w:r>
        <w:rPr>
          <w:rFonts w:hint="eastAsia" w:ascii="宋体" w:hAnsi="宋体"/>
          <w:sz w:val="24"/>
        </w:rPr>
        <w:t>生产力对教育的作用</w:t>
      </w:r>
    </w:p>
    <w:p>
      <w:pPr>
        <w:spacing w:line="360" w:lineRule="auto"/>
        <w:ind w:firstLine="480" w:firstLineChars="200"/>
        <w:jc w:val="left"/>
        <w:rPr>
          <w:rFonts w:hint="eastAsia" w:ascii="宋体" w:hAnsi="宋体"/>
          <w:sz w:val="24"/>
        </w:rPr>
      </w:pPr>
      <w:r>
        <w:rPr>
          <w:rFonts w:hint="eastAsia" w:ascii="宋体" w:hAnsi="宋体"/>
          <w:sz w:val="24"/>
        </w:rPr>
        <w:t>生产力决定教育的发展规模、速度</w:t>
      </w:r>
    </w:p>
    <w:p>
      <w:pPr>
        <w:spacing w:line="360" w:lineRule="auto"/>
        <w:ind w:firstLine="480" w:firstLineChars="200"/>
        <w:jc w:val="left"/>
        <w:rPr>
          <w:rFonts w:hint="eastAsia" w:ascii="宋体" w:hAnsi="宋体"/>
          <w:sz w:val="24"/>
        </w:rPr>
      </w:pPr>
      <w:r>
        <w:rPr>
          <w:rFonts w:hint="eastAsia" w:ascii="宋体" w:hAnsi="宋体"/>
          <w:sz w:val="24"/>
        </w:rPr>
        <w:t>生产力制约教育结构、教育内容和手段</w:t>
      </w:r>
    </w:p>
    <w:p>
      <w:pPr>
        <w:spacing w:line="360" w:lineRule="auto"/>
        <w:ind w:firstLine="480" w:firstLineChars="200"/>
        <w:jc w:val="left"/>
        <w:rPr>
          <w:rFonts w:hint="eastAsia" w:ascii="宋体" w:hAnsi="宋体"/>
          <w:sz w:val="24"/>
        </w:rPr>
      </w:pPr>
      <w:r>
        <w:rPr>
          <w:rFonts w:hint="eastAsia" w:ascii="宋体" w:hAnsi="宋体"/>
          <w:sz w:val="24"/>
        </w:rPr>
        <w:t>教育对生产力的作用（教育的经济功能）</w:t>
      </w:r>
    </w:p>
    <w:p>
      <w:pPr>
        <w:spacing w:line="360" w:lineRule="auto"/>
        <w:ind w:firstLine="480" w:firstLineChars="200"/>
        <w:jc w:val="left"/>
        <w:rPr>
          <w:rFonts w:hint="eastAsia" w:ascii="宋体" w:hAnsi="宋体"/>
          <w:sz w:val="24"/>
        </w:rPr>
      </w:pPr>
      <w:r>
        <w:rPr>
          <w:rFonts w:hint="eastAsia" w:ascii="宋体" w:hAnsi="宋体"/>
          <w:sz w:val="24"/>
        </w:rPr>
        <w:t>再生产劳动力、再生产科学知识</w:t>
      </w:r>
    </w:p>
    <w:p>
      <w:pPr>
        <w:numPr>
          <w:ilvl w:val="0"/>
          <w:numId w:val="2"/>
        </w:num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文化和教育的相互关系</w:t>
      </w:r>
    </w:p>
    <w:p>
      <w:pPr>
        <w:spacing w:line="360" w:lineRule="auto"/>
        <w:ind w:firstLine="480" w:firstLineChars="200"/>
        <w:jc w:val="left"/>
        <w:rPr>
          <w:rFonts w:hint="eastAsia" w:ascii="宋体" w:hAnsi="宋体"/>
          <w:sz w:val="24"/>
        </w:rPr>
      </w:pPr>
      <w:r>
        <w:rPr>
          <w:rFonts w:hint="eastAsia" w:ascii="宋体" w:hAnsi="宋体"/>
          <w:sz w:val="24"/>
        </w:rPr>
        <w:t>二者相互制约、相互促进</w:t>
      </w:r>
    </w:p>
    <w:p>
      <w:pPr>
        <w:spacing w:line="360" w:lineRule="auto"/>
        <w:ind w:firstLine="480" w:firstLineChars="200"/>
        <w:jc w:val="left"/>
        <w:rPr>
          <w:rFonts w:hint="eastAsia" w:ascii="宋体" w:hAnsi="宋体"/>
          <w:sz w:val="24"/>
        </w:rPr>
      </w:pPr>
      <w:r>
        <w:rPr>
          <w:rFonts w:hint="eastAsia" w:ascii="宋体" w:hAnsi="宋体"/>
          <w:sz w:val="24"/>
        </w:rPr>
        <w:t>教育的双重文化属性</w:t>
      </w:r>
    </w:p>
    <w:p>
      <w:pPr>
        <w:spacing w:line="360" w:lineRule="auto"/>
        <w:ind w:firstLine="480" w:firstLineChars="200"/>
        <w:jc w:val="left"/>
        <w:rPr>
          <w:rFonts w:hint="eastAsia" w:ascii="宋体" w:hAnsi="宋体"/>
          <w:sz w:val="24"/>
        </w:rPr>
      </w:pPr>
      <w:r>
        <w:rPr>
          <w:rFonts w:hint="eastAsia" w:ascii="宋体" w:hAnsi="宋体"/>
          <w:sz w:val="24"/>
        </w:rPr>
        <w:t>学校文化：校园文化（物质、制度、精神）</w:t>
      </w:r>
    </w:p>
    <w:p>
      <w:pPr>
        <w:numPr>
          <w:ilvl w:val="0"/>
          <w:numId w:val="2"/>
        </w:num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教育和人口的相互关系</w:t>
      </w:r>
    </w:p>
    <w:p>
      <w:pPr>
        <w:spacing w:line="360" w:lineRule="auto"/>
        <w:ind w:firstLine="480" w:firstLineChars="200"/>
        <w:jc w:val="left"/>
        <w:rPr>
          <w:rFonts w:hint="eastAsia" w:ascii="宋体" w:hAnsi="宋体"/>
          <w:sz w:val="24"/>
        </w:rPr>
      </w:pPr>
      <w:r>
        <w:rPr>
          <w:rFonts w:hint="eastAsia" w:ascii="宋体" w:hAnsi="宋体"/>
          <w:sz w:val="24"/>
        </w:rPr>
        <w:t>人口对教育的作用</w:t>
      </w:r>
    </w:p>
    <w:p>
      <w:pPr>
        <w:spacing w:line="360" w:lineRule="auto"/>
        <w:ind w:firstLine="480" w:firstLineChars="200"/>
        <w:jc w:val="left"/>
        <w:rPr>
          <w:rFonts w:hint="eastAsia" w:ascii="宋体" w:hAnsi="宋体"/>
          <w:sz w:val="24"/>
        </w:rPr>
      </w:pPr>
      <w:r>
        <w:rPr>
          <w:rFonts w:hint="eastAsia" w:ascii="宋体" w:hAnsi="宋体"/>
          <w:sz w:val="24"/>
        </w:rPr>
        <w:t>人口影响教育的规模、需求、质量、类型布局</w:t>
      </w:r>
    </w:p>
    <w:p>
      <w:pPr>
        <w:spacing w:line="360" w:lineRule="auto"/>
        <w:ind w:firstLine="480" w:firstLineChars="200"/>
        <w:jc w:val="left"/>
        <w:rPr>
          <w:rFonts w:hint="eastAsia" w:ascii="宋体" w:hAnsi="宋体"/>
          <w:sz w:val="24"/>
        </w:rPr>
      </w:pPr>
      <w:r>
        <w:rPr>
          <w:rFonts w:hint="eastAsia" w:ascii="宋体" w:hAnsi="宋体"/>
          <w:sz w:val="24"/>
        </w:rPr>
        <w:t>教育对人口的影响</w:t>
      </w:r>
    </w:p>
    <w:p>
      <w:pPr>
        <w:spacing w:line="360" w:lineRule="auto"/>
        <w:ind w:firstLine="480" w:firstLineChars="200"/>
        <w:jc w:val="left"/>
        <w:rPr>
          <w:rFonts w:hint="eastAsia" w:ascii="宋体" w:hAnsi="宋体"/>
          <w:sz w:val="24"/>
        </w:rPr>
      </w:pPr>
      <w:r>
        <w:rPr>
          <w:rFonts w:hint="eastAsia" w:ascii="宋体" w:hAnsi="宋体"/>
          <w:sz w:val="24"/>
        </w:rPr>
        <w:t>教育可以控制人口数量、提高人口质量、改善人口结构。</w:t>
      </w:r>
    </w:p>
    <w:p>
      <w:pPr>
        <w:spacing w:line="360" w:lineRule="auto"/>
        <w:ind w:firstLine="480" w:firstLineChars="200"/>
        <w:jc w:val="left"/>
        <w:rPr>
          <w:rFonts w:hint="eastAsia" w:ascii="宋体" w:hAnsi="宋体"/>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考点二十三  个体身心发展的动因</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 xml:space="preserve">题型涉及：单选 辨析 </w:t>
      </w:r>
    </w:p>
    <w:p>
      <w:pPr>
        <w:spacing w:line="360" w:lineRule="auto"/>
        <w:ind w:firstLine="482" w:firstLineChars="200"/>
        <w:jc w:val="left"/>
        <w:rPr>
          <w:rFonts w:hint="eastAsia" w:ascii="宋体" w:hAnsi="宋体"/>
          <w:sz w:val="24"/>
        </w:rPr>
      </w:pPr>
      <w:r>
        <w:rPr>
          <w:rFonts w:hint="eastAsia" w:ascii="宋体" w:hAnsi="宋体"/>
          <w:b/>
          <w:bCs/>
          <w:color w:val="0070C0"/>
          <w:sz w:val="24"/>
        </w:rPr>
        <w:t>理论观点一  内发论</w:t>
      </w:r>
      <w:r>
        <w:rPr>
          <w:rFonts w:hint="eastAsia" w:ascii="宋体" w:hAnsi="宋体"/>
          <w:sz w:val="24"/>
        </w:rPr>
        <w:t>（别名 遗传决定论）</w:t>
      </w:r>
    </w:p>
    <w:p>
      <w:pPr>
        <w:spacing w:line="360" w:lineRule="auto"/>
        <w:ind w:firstLine="480" w:firstLineChars="200"/>
        <w:jc w:val="left"/>
        <w:rPr>
          <w:rFonts w:hint="eastAsia" w:ascii="宋体" w:hAnsi="宋体"/>
          <w:sz w:val="24"/>
        </w:rPr>
      </w:pPr>
      <w:r>
        <w:rPr>
          <w:rFonts w:hint="eastAsia" w:ascii="宋体" w:hAnsi="宋体"/>
          <w:sz w:val="24"/>
        </w:rPr>
        <w:t>记忆口诀：内蒙四耳佛</w:t>
      </w:r>
    </w:p>
    <w:p>
      <w:pPr>
        <w:spacing w:line="360" w:lineRule="auto"/>
        <w:ind w:firstLine="480" w:firstLineChars="200"/>
        <w:jc w:val="left"/>
        <w:rPr>
          <w:rFonts w:hint="eastAsia" w:ascii="宋体" w:hAnsi="宋体"/>
          <w:sz w:val="24"/>
        </w:rPr>
      </w:pPr>
      <w:r>
        <w:rPr>
          <w:rFonts w:hint="eastAsia" w:ascii="宋体" w:hAnsi="宋体"/>
          <w:sz w:val="24"/>
        </w:rPr>
        <w:t>内（内发论）蒙（孟子）四耳（威尔逊、格塞尔、高尔顿、霍尔）佛（弗洛伊德）</w:t>
      </w:r>
    </w:p>
    <w:p>
      <w:pPr>
        <w:spacing w:line="360" w:lineRule="auto"/>
        <w:ind w:firstLine="482" w:firstLineChars="200"/>
        <w:jc w:val="left"/>
        <w:rPr>
          <w:rFonts w:hint="eastAsia" w:ascii="宋体" w:hAnsi="宋体"/>
          <w:sz w:val="24"/>
        </w:rPr>
      </w:pPr>
      <w:r>
        <w:rPr>
          <w:rFonts w:hint="eastAsia" w:ascii="宋体" w:hAnsi="宋体"/>
          <w:b/>
          <w:bCs/>
          <w:color w:val="0070C0"/>
          <w:sz w:val="24"/>
        </w:rPr>
        <w:t>理论观点二  外铄论</w:t>
      </w:r>
      <w:r>
        <w:rPr>
          <w:rFonts w:hint="eastAsia" w:ascii="宋体" w:hAnsi="宋体"/>
          <w:sz w:val="24"/>
        </w:rPr>
        <w:t>（别名 环境决定论）</w:t>
      </w:r>
    </w:p>
    <w:p>
      <w:pPr>
        <w:spacing w:line="360" w:lineRule="auto"/>
        <w:ind w:firstLine="480" w:firstLineChars="200"/>
        <w:jc w:val="left"/>
        <w:rPr>
          <w:rFonts w:hint="eastAsia" w:ascii="宋体" w:hAnsi="宋体"/>
          <w:sz w:val="24"/>
        </w:rPr>
      </w:pPr>
      <w:r>
        <w:rPr>
          <w:rFonts w:hint="eastAsia" w:ascii="宋体" w:hAnsi="宋体"/>
          <w:sz w:val="24"/>
        </w:rPr>
        <w:t>记忆口诀：外出寻找落花生</w:t>
      </w:r>
    </w:p>
    <w:p>
      <w:pPr>
        <w:spacing w:line="360" w:lineRule="auto"/>
        <w:ind w:firstLine="480" w:firstLineChars="200"/>
        <w:jc w:val="left"/>
        <w:rPr>
          <w:rFonts w:hint="eastAsia" w:ascii="宋体" w:hAnsi="宋体"/>
          <w:sz w:val="24"/>
        </w:rPr>
      </w:pPr>
      <w:r>
        <w:rPr>
          <w:rFonts w:hint="eastAsia" w:ascii="宋体" w:hAnsi="宋体"/>
          <w:sz w:val="24"/>
        </w:rPr>
        <w:t>外（外铄论）出寻（荀子）找落（洛克）花生（华生）</w:t>
      </w:r>
    </w:p>
    <w:p>
      <w:pPr>
        <w:spacing w:line="360" w:lineRule="auto"/>
        <w:ind w:firstLine="482" w:firstLineChars="200"/>
        <w:jc w:val="left"/>
        <w:rPr>
          <w:rFonts w:hint="eastAsia" w:ascii="宋体" w:hAnsi="宋体"/>
          <w:b/>
          <w:bCs/>
          <w:color w:val="0070C0"/>
          <w:sz w:val="24"/>
        </w:rPr>
      </w:pPr>
      <w:r>
        <w:rPr>
          <w:rFonts w:hint="eastAsia" w:ascii="宋体" w:hAnsi="宋体"/>
          <w:b/>
          <w:bCs/>
          <w:color w:val="0070C0"/>
          <w:sz w:val="24"/>
        </w:rPr>
        <w:t>理论观点三  多因素相互作用论</w:t>
      </w:r>
    </w:p>
    <w:p>
      <w:pPr>
        <w:spacing w:line="360" w:lineRule="auto"/>
        <w:ind w:firstLine="480" w:firstLineChars="200"/>
        <w:jc w:val="left"/>
        <w:rPr>
          <w:rFonts w:hint="eastAsia" w:ascii="宋体" w:hAnsi="宋体"/>
          <w:sz w:val="24"/>
        </w:rPr>
      </w:pPr>
      <w:r>
        <w:rPr>
          <w:rFonts w:hint="eastAsia" w:ascii="宋体" w:hAnsi="宋体"/>
          <w:sz w:val="24"/>
        </w:rPr>
        <w:t>内+外 辩证观点看问题</w:t>
      </w:r>
    </w:p>
    <w:p>
      <w:pPr>
        <w:spacing w:line="360" w:lineRule="auto"/>
        <w:ind w:firstLine="480" w:firstLineChars="200"/>
        <w:jc w:val="left"/>
        <w:rPr>
          <w:rFonts w:hint="eastAsia" w:ascii="宋体" w:hAnsi="宋体"/>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考点二十四  个体身心发展的一般规律</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sz w:val="24"/>
        </w:rPr>
      </w:pPr>
      <w:r>
        <w:rPr>
          <w:rFonts w:hint="eastAsia" w:ascii="宋体" w:hAnsi="宋体"/>
          <w:sz w:val="24"/>
        </w:rPr>
        <w:t>顺序性—循序渐进</w:t>
      </w:r>
    </w:p>
    <w:p>
      <w:pPr>
        <w:spacing w:line="360" w:lineRule="auto"/>
        <w:ind w:firstLine="480" w:firstLineChars="200"/>
        <w:jc w:val="left"/>
        <w:rPr>
          <w:rFonts w:hint="eastAsia" w:ascii="宋体" w:hAnsi="宋体"/>
          <w:sz w:val="24"/>
        </w:rPr>
      </w:pPr>
      <w:r>
        <w:rPr>
          <w:rFonts w:hint="eastAsia" w:ascii="宋体" w:hAnsi="宋体"/>
          <w:sz w:val="24"/>
        </w:rPr>
        <w:t>阶段性—目的、阶段</w:t>
      </w:r>
    </w:p>
    <w:p>
      <w:pPr>
        <w:spacing w:line="360" w:lineRule="auto"/>
        <w:ind w:firstLine="480" w:firstLineChars="200"/>
        <w:jc w:val="left"/>
        <w:rPr>
          <w:rFonts w:hint="eastAsia" w:ascii="宋体" w:hAnsi="宋体"/>
          <w:sz w:val="24"/>
        </w:rPr>
      </w:pPr>
      <w:r>
        <w:rPr>
          <w:rFonts w:hint="eastAsia" w:ascii="宋体" w:hAnsi="宋体"/>
          <w:sz w:val="24"/>
        </w:rPr>
        <w:t>不平衡性—关键期</w:t>
      </w:r>
    </w:p>
    <w:p>
      <w:pPr>
        <w:spacing w:line="360" w:lineRule="auto"/>
        <w:ind w:firstLine="480" w:firstLineChars="200"/>
        <w:jc w:val="left"/>
        <w:rPr>
          <w:rFonts w:hint="eastAsia" w:ascii="宋体" w:hAnsi="宋体"/>
          <w:sz w:val="24"/>
        </w:rPr>
      </w:pPr>
      <w:r>
        <w:rPr>
          <w:rFonts w:hint="eastAsia" w:ascii="宋体" w:hAnsi="宋体"/>
          <w:sz w:val="24"/>
        </w:rPr>
        <w:t>互补性—生理、心理</w:t>
      </w:r>
    </w:p>
    <w:p>
      <w:pPr>
        <w:spacing w:line="360" w:lineRule="auto"/>
        <w:ind w:firstLine="480" w:firstLineChars="200"/>
        <w:jc w:val="left"/>
        <w:rPr>
          <w:rFonts w:hint="eastAsia" w:ascii="宋体" w:hAnsi="宋体"/>
          <w:sz w:val="24"/>
        </w:rPr>
      </w:pPr>
      <w:r>
        <w:rPr>
          <w:rFonts w:hint="eastAsia" w:ascii="宋体" w:hAnsi="宋体"/>
          <w:sz w:val="24"/>
        </w:rPr>
        <w:t>个别差异性—个体间、群体间</w:t>
      </w:r>
    </w:p>
    <w:p>
      <w:pPr>
        <w:spacing w:line="360" w:lineRule="auto"/>
        <w:ind w:firstLine="480" w:firstLineChars="200"/>
        <w:jc w:val="left"/>
        <w:rPr>
          <w:rFonts w:hint="eastAsia" w:ascii="宋体" w:hAnsi="宋体"/>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考点二十五  影响个体身心发展的因素及其作用</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sz w:val="24"/>
        </w:rPr>
      </w:pPr>
      <w:r>
        <w:rPr>
          <w:rFonts w:hint="eastAsia" w:ascii="宋体" w:hAnsi="宋体"/>
          <w:sz w:val="24"/>
        </w:rPr>
        <w:t>（一）遗传——前提条件、物质基础</w:t>
      </w:r>
    </w:p>
    <w:p>
      <w:pPr>
        <w:spacing w:line="360" w:lineRule="auto"/>
        <w:ind w:firstLine="480" w:firstLineChars="200"/>
        <w:jc w:val="left"/>
        <w:rPr>
          <w:rFonts w:hint="eastAsia" w:ascii="宋体" w:hAnsi="宋体"/>
          <w:sz w:val="24"/>
        </w:rPr>
      </w:pPr>
      <w:r>
        <w:rPr>
          <w:rFonts w:hint="eastAsia" w:ascii="宋体" w:hAnsi="宋体"/>
          <w:sz w:val="24"/>
        </w:rPr>
        <w:t>（二）环境——自然环境+社会环境</w:t>
      </w:r>
    </w:p>
    <w:p>
      <w:pPr>
        <w:spacing w:line="360" w:lineRule="auto"/>
        <w:ind w:firstLine="480" w:firstLineChars="200"/>
        <w:jc w:val="left"/>
        <w:rPr>
          <w:rFonts w:hint="eastAsia" w:ascii="宋体" w:hAnsi="宋体"/>
          <w:sz w:val="24"/>
        </w:rPr>
      </w:pPr>
      <w:r>
        <w:rPr>
          <w:rFonts w:hint="eastAsia" w:ascii="宋体" w:hAnsi="宋体"/>
          <w:sz w:val="24"/>
        </w:rPr>
        <w:t>（三）学校教育——主导作用</w:t>
      </w:r>
    </w:p>
    <w:p>
      <w:pPr>
        <w:spacing w:line="360" w:lineRule="auto"/>
        <w:ind w:firstLine="480" w:firstLineChars="200"/>
        <w:jc w:val="left"/>
        <w:rPr>
          <w:rFonts w:hint="eastAsia" w:ascii="宋体" w:hAnsi="宋体"/>
          <w:b/>
          <w:bCs/>
          <w:color w:val="0070C0"/>
          <w:sz w:val="24"/>
        </w:rPr>
      </w:pPr>
      <w:r>
        <w:rPr>
          <w:rFonts w:hint="eastAsia" w:ascii="宋体" w:hAnsi="宋体"/>
          <w:sz w:val="24"/>
        </w:rPr>
        <w:t>（四）个体主观能动性——</w:t>
      </w:r>
      <w:r>
        <w:rPr>
          <w:rFonts w:hint="eastAsia" w:ascii="宋体" w:hAnsi="宋体"/>
          <w:b/>
          <w:bCs/>
          <w:color w:val="0070C0"/>
          <w:sz w:val="24"/>
        </w:rPr>
        <w:t>决定性因素</w:t>
      </w:r>
    </w:p>
    <w:p>
      <w:pPr>
        <w:spacing w:line="360" w:lineRule="auto"/>
        <w:ind w:firstLine="482" w:firstLineChars="200"/>
        <w:jc w:val="left"/>
        <w:rPr>
          <w:rFonts w:hint="eastAsia" w:ascii="宋体" w:hAnsi="宋体"/>
          <w:b/>
          <w:bCs/>
          <w:color w:val="0070C0"/>
          <w:sz w:val="24"/>
        </w:rPr>
      </w:pPr>
    </w:p>
    <w:p>
      <w:pPr>
        <w:spacing w:line="360" w:lineRule="auto"/>
        <w:ind w:firstLine="482" w:firstLineChars="200"/>
        <w:jc w:val="left"/>
        <w:rPr>
          <w:rFonts w:hint="eastAsia" w:ascii="宋体" w:hAnsi="宋体"/>
          <w:b/>
          <w:bCs/>
          <w:color w:val="FF0000"/>
          <w:sz w:val="24"/>
        </w:rPr>
      </w:pPr>
      <w:r>
        <w:rPr>
          <w:rFonts w:hint="eastAsia" w:ascii="宋体" w:hAnsi="宋体"/>
          <w:b/>
          <w:bCs/>
          <w:color w:val="FF0000"/>
          <w:sz w:val="24"/>
        </w:rPr>
        <w:t>考点二十六  学校教育制度</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 简答</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1、含义：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简称学制，是一个国家各级各类学校的总体系，具体规定各级各类学校的性质、任务、目的、要求、入学条件、修学年限及他们之间的相互关系。</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2、建立学制的依据主要有 ：</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（1）生产力发展水平</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（2）社会政治经济制度</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（3）人口发展状况</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（4）民族文化传统</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（5）青少年儿童的身心发展规律</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（6）国内外学制的历史经验</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考点二十七  现代学制的类型</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现代学制</w:t>
      </w:r>
      <w:r>
        <w:rPr>
          <w:rFonts w:hint="eastAsia" w:ascii="宋体" w:hAnsi="宋体" w:cs="微软雅黑"/>
          <w:b/>
          <w:bCs/>
          <w:color w:val="4BACC6"/>
          <w:sz w:val="24"/>
        </w:rPr>
        <w:t>最早</w:t>
      </w:r>
      <w:r>
        <w:rPr>
          <w:rFonts w:hint="eastAsia" w:ascii="宋体" w:hAnsi="宋体" w:cs="微软雅黑"/>
          <w:color w:val="000000"/>
          <w:sz w:val="24"/>
        </w:rPr>
        <w:t>出现在</w:t>
      </w:r>
      <w:r>
        <w:rPr>
          <w:rFonts w:hint="eastAsia" w:ascii="宋体" w:hAnsi="宋体" w:cs="微软雅黑"/>
          <w:b/>
          <w:bCs/>
          <w:color w:val="4BACC6"/>
          <w:sz w:val="24"/>
        </w:rPr>
        <w:t>19</w:t>
      </w:r>
      <w:r>
        <w:rPr>
          <w:rFonts w:hint="eastAsia" w:ascii="宋体" w:hAnsi="宋体" w:cs="微软雅黑"/>
          <w:color w:val="000000"/>
          <w:sz w:val="24"/>
        </w:rPr>
        <w:t>世纪末的</w:t>
      </w:r>
      <w:r>
        <w:rPr>
          <w:rFonts w:hint="eastAsia" w:ascii="宋体" w:hAnsi="宋体" w:cs="微软雅黑"/>
          <w:b/>
          <w:bCs/>
          <w:color w:val="0070C0"/>
          <w:sz w:val="24"/>
        </w:rPr>
        <w:t>欧洲</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455"/>
        <w:gridCol w:w="1425"/>
        <w:gridCol w:w="1875"/>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0"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学制类型</w:t>
            </w:r>
          </w:p>
        </w:tc>
        <w:tc>
          <w:tcPr>
            <w:tcW w:w="1455"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形成时间</w:t>
            </w:r>
          </w:p>
        </w:tc>
        <w:tc>
          <w:tcPr>
            <w:tcW w:w="1425"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代表国家</w:t>
            </w:r>
          </w:p>
        </w:tc>
        <w:tc>
          <w:tcPr>
            <w:tcW w:w="1875"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特点</w:t>
            </w:r>
          </w:p>
        </w:tc>
        <w:tc>
          <w:tcPr>
            <w:tcW w:w="2377"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双轨学制</w:t>
            </w:r>
          </w:p>
        </w:tc>
        <w:tc>
          <w:tcPr>
            <w:tcW w:w="145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19世纪</w:t>
            </w:r>
          </w:p>
          <w:p>
            <w:pPr>
              <w:spacing w:line="360" w:lineRule="auto"/>
              <w:jc w:val="left"/>
              <w:rPr>
                <w:rFonts w:hint="eastAsia" w:ascii="宋体" w:hAnsi="宋体" w:cs="微软雅黑"/>
                <w:color w:val="000000"/>
                <w:sz w:val="24"/>
              </w:rPr>
            </w:pPr>
          </w:p>
        </w:tc>
        <w:tc>
          <w:tcPr>
            <w:tcW w:w="142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英法德等欧洲国家</w:t>
            </w:r>
          </w:p>
        </w:tc>
        <w:tc>
          <w:tcPr>
            <w:tcW w:w="187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学术性</w:t>
            </w:r>
          </w:p>
          <w:p>
            <w:pPr>
              <w:spacing w:line="360" w:lineRule="auto"/>
              <w:jc w:val="left"/>
              <w:rPr>
                <w:rFonts w:hint="eastAsia" w:ascii="宋体" w:hAnsi="宋体" w:cs="微软雅黑"/>
                <w:color w:val="000000"/>
                <w:sz w:val="24"/>
              </w:rPr>
            </w:pPr>
            <w:r>
              <w:rPr>
                <w:rFonts w:hint="eastAsia" w:ascii="宋体" w:hAnsi="宋体" w:cs="微软雅黑"/>
                <w:color w:val="000000"/>
                <w:sz w:val="24"/>
              </w:rPr>
              <w:t>职业性</w:t>
            </w:r>
          </w:p>
        </w:tc>
        <w:tc>
          <w:tcPr>
            <w:tcW w:w="2377"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不利于教育的普及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单轨学制</w:t>
            </w:r>
          </w:p>
          <w:p>
            <w:pPr>
              <w:spacing w:line="360" w:lineRule="auto"/>
              <w:jc w:val="left"/>
              <w:rPr>
                <w:rFonts w:hint="eastAsia" w:ascii="宋体" w:hAnsi="宋体" w:cs="微软雅黑"/>
                <w:color w:val="000000"/>
                <w:sz w:val="24"/>
              </w:rPr>
            </w:pPr>
          </w:p>
        </w:tc>
        <w:tc>
          <w:tcPr>
            <w:tcW w:w="145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19世纪末20世纪初</w:t>
            </w:r>
          </w:p>
          <w:p>
            <w:pPr>
              <w:spacing w:line="360" w:lineRule="auto"/>
              <w:jc w:val="left"/>
              <w:rPr>
                <w:rFonts w:hint="eastAsia" w:ascii="宋体" w:hAnsi="宋体" w:cs="微软雅黑"/>
                <w:color w:val="000000"/>
                <w:sz w:val="24"/>
              </w:rPr>
            </w:pPr>
          </w:p>
        </w:tc>
        <w:tc>
          <w:tcPr>
            <w:tcW w:w="142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美国</w:t>
            </w:r>
          </w:p>
          <w:p>
            <w:pPr>
              <w:spacing w:line="360" w:lineRule="auto"/>
              <w:jc w:val="left"/>
              <w:rPr>
                <w:rFonts w:hint="eastAsia" w:ascii="宋体" w:hAnsi="宋体" w:cs="微软雅黑"/>
                <w:color w:val="000000"/>
                <w:sz w:val="24"/>
              </w:rPr>
            </w:pPr>
          </w:p>
        </w:tc>
        <w:tc>
          <w:tcPr>
            <w:tcW w:w="187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所有人享受同样的教育系统</w:t>
            </w:r>
          </w:p>
        </w:tc>
        <w:tc>
          <w:tcPr>
            <w:tcW w:w="2377"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有利于教育的普及，但水平参差不齐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13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分支型学制</w:t>
            </w:r>
          </w:p>
        </w:tc>
        <w:tc>
          <w:tcPr>
            <w:tcW w:w="145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20世纪上半叶</w:t>
            </w:r>
          </w:p>
        </w:tc>
        <w:tc>
          <w:tcPr>
            <w:tcW w:w="142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苏联</w:t>
            </w:r>
          </w:p>
          <w:p>
            <w:pPr>
              <w:spacing w:line="360" w:lineRule="auto"/>
              <w:jc w:val="left"/>
              <w:rPr>
                <w:rFonts w:hint="eastAsia" w:ascii="宋体" w:hAnsi="宋体" w:cs="微软雅黑"/>
                <w:color w:val="000000"/>
                <w:sz w:val="24"/>
              </w:rPr>
            </w:pPr>
          </w:p>
        </w:tc>
        <w:tc>
          <w:tcPr>
            <w:tcW w:w="187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初中为分界</w:t>
            </w:r>
          </w:p>
        </w:tc>
        <w:tc>
          <w:tcPr>
            <w:tcW w:w="2377"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有利于教育普及，学术性水平保持高</w:t>
            </w:r>
          </w:p>
        </w:tc>
      </w:tr>
    </w:tbl>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考点二十八  旧中国学制</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我国学制开始于清末“废科举，兴学校”</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2265"/>
        <w:gridCol w:w="1920"/>
        <w:gridCol w:w="192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000"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学制</w:t>
            </w:r>
          </w:p>
        </w:tc>
        <w:tc>
          <w:tcPr>
            <w:tcW w:w="226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壬寅学制</w:t>
            </w:r>
          </w:p>
        </w:tc>
        <w:tc>
          <w:tcPr>
            <w:tcW w:w="192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癸卯学制</w:t>
            </w:r>
          </w:p>
        </w:tc>
        <w:tc>
          <w:tcPr>
            <w:tcW w:w="192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壬子癸丑学制</w:t>
            </w:r>
          </w:p>
        </w:tc>
        <w:tc>
          <w:tcPr>
            <w:tcW w:w="18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壬戌学制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别名</w:t>
            </w:r>
          </w:p>
        </w:tc>
        <w:tc>
          <w:tcPr>
            <w:tcW w:w="226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钦定学堂章程</w:t>
            </w:r>
          </w:p>
        </w:tc>
        <w:tc>
          <w:tcPr>
            <w:tcW w:w="192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奏定学堂章程</w:t>
            </w:r>
          </w:p>
        </w:tc>
        <w:tc>
          <w:tcPr>
            <w:tcW w:w="192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w:t>
            </w:r>
          </w:p>
        </w:tc>
        <w:tc>
          <w:tcPr>
            <w:tcW w:w="18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“新学制”、”六三三学制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蓝本依托</w:t>
            </w:r>
          </w:p>
        </w:tc>
        <w:tc>
          <w:tcPr>
            <w:tcW w:w="226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日本学制</w:t>
            </w:r>
          </w:p>
        </w:tc>
        <w:tc>
          <w:tcPr>
            <w:tcW w:w="192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日本学制</w:t>
            </w:r>
          </w:p>
        </w:tc>
        <w:tc>
          <w:tcPr>
            <w:tcW w:w="192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日本学制</w:t>
            </w:r>
          </w:p>
        </w:tc>
        <w:tc>
          <w:tcPr>
            <w:tcW w:w="18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美国学制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0"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特点</w:t>
            </w:r>
          </w:p>
        </w:tc>
        <w:tc>
          <w:tcPr>
            <w:tcW w:w="226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最早公布但未实施</w:t>
            </w:r>
          </w:p>
        </w:tc>
        <w:tc>
          <w:tcPr>
            <w:tcW w:w="192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1、中国近代第一个正式实施的学制</w:t>
            </w:r>
          </w:p>
          <w:p>
            <w:pPr>
              <w:spacing w:line="360" w:lineRule="auto"/>
              <w:jc w:val="left"/>
              <w:rPr>
                <w:rFonts w:hint="eastAsia" w:ascii="宋体" w:hAnsi="宋体" w:cs="微软雅黑"/>
                <w:color w:val="000000"/>
                <w:sz w:val="24"/>
              </w:rPr>
            </w:pPr>
            <w:r>
              <w:rPr>
                <w:rFonts w:hint="eastAsia" w:ascii="宋体" w:hAnsi="宋体" w:cs="微软雅黑"/>
                <w:color w:val="000000"/>
                <w:sz w:val="24"/>
              </w:rPr>
              <w:t>2、修业年限长</w:t>
            </w:r>
          </w:p>
        </w:tc>
        <w:tc>
          <w:tcPr>
            <w:tcW w:w="192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男女平等，允许男女同校，是第一个具有资本主义性质的学制</w:t>
            </w:r>
          </w:p>
          <w:p>
            <w:pPr>
              <w:spacing w:line="360" w:lineRule="auto"/>
              <w:jc w:val="left"/>
              <w:rPr>
                <w:rFonts w:hint="eastAsia" w:ascii="宋体" w:hAnsi="宋体" w:cs="微软雅黑"/>
                <w:color w:val="000000"/>
                <w:sz w:val="24"/>
              </w:rPr>
            </w:pPr>
          </w:p>
        </w:tc>
        <w:tc>
          <w:tcPr>
            <w:tcW w:w="18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沿用时间最长，一直沿用到全国解放初期</w:t>
            </w:r>
          </w:p>
          <w:p>
            <w:pPr>
              <w:spacing w:line="360" w:lineRule="auto"/>
              <w:jc w:val="left"/>
              <w:rPr>
                <w:rFonts w:hint="eastAsia" w:ascii="宋体" w:hAnsi="宋体" w:cs="微软雅黑"/>
                <w:color w:val="000000"/>
                <w:sz w:val="24"/>
              </w:rPr>
            </w:pPr>
            <w:r>
              <w:rPr>
                <w:rFonts w:hint="eastAsia" w:ascii="宋体" w:hAnsi="宋体" w:cs="微软雅黑"/>
                <w:color w:val="000000"/>
                <w:sz w:val="24"/>
              </w:rPr>
              <w:t>首次明确以学龄儿童和青少年身心发展规律作为划分学校教育阶段的依据</w:t>
            </w:r>
          </w:p>
        </w:tc>
      </w:tr>
    </w:tbl>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考点二十九  教育制度在形式上的发展</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正规教育的</w:t>
      </w:r>
      <w:r>
        <w:rPr>
          <w:rFonts w:hint="eastAsia" w:ascii="宋体" w:hAnsi="宋体" w:cs="微软雅黑"/>
          <w:b/>
          <w:bCs/>
          <w:color w:val="0070C0"/>
          <w:sz w:val="24"/>
        </w:rPr>
        <w:t>主要标志</w:t>
      </w:r>
      <w:r>
        <w:rPr>
          <w:rFonts w:hint="eastAsia" w:ascii="宋体" w:hAnsi="宋体" w:cs="微软雅黑"/>
          <w:sz w:val="24"/>
        </w:rPr>
        <w:t>是近代以学校系统为核心的教育制度，又称制度化教育。</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—前制度化教育（非正式、非正规）</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—制度化教育：现行的学校教育制度</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—非制度化教育（非正式、非正规）</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“教育不应再限于学校的围墙之内”，提出构建学习化社会</w:t>
      </w:r>
    </w:p>
    <w:p>
      <w:pPr>
        <w:spacing w:line="360" w:lineRule="auto"/>
        <w:ind w:firstLine="480" w:firstLineChars="200"/>
        <w:jc w:val="left"/>
        <w:rPr>
          <w:rFonts w:hint="eastAsia" w:ascii="宋体" w:hAnsi="宋体" w:cs="微软雅黑"/>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考点三十  义务教育的概念</w:t>
      </w:r>
    </w:p>
    <w:p>
      <w:pPr>
        <w:spacing w:line="360" w:lineRule="auto"/>
        <w:ind w:firstLine="482" w:firstLineChars="200"/>
        <w:jc w:val="left"/>
        <w:rPr>
          <w:rFonts w:hint="eastAsia" w:ascii="宋体" w:hAnsi="宋体"/>
          <w:b/>
          <w:bCs/>
          <w:color w:val="FF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义务教育起源于</w:t>
      </w:r>
      <w:r>
        <w:rPr>
          <w:rFonts w:hint="eastAsia" w:ascii="宋体" w:hAnsi="宋体" w:cs="微软雅黑"/>
          <w:b/>
          <w:bCs/>
          <w:color w:val="0070C0"/>
          <w:sz w:val="24"/>
        </w:rPr>
        <w:t>德国</w:t>
      </w:r>
      <w:r>
        <w:rPr>
          <w:rFonts w:hint="eastAsia" w:ascii="宋体" w:hAnsi="宋体" w:cs="微软雅黑"/>
          <w:color w:val="000000"/>
          <w:sz w:val="24"/>
        </w:rPr>
        <w:t>。宗教领袖马丁●路德是最早提出义务教育概念的人。</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最早的义务教育出现在德国魏玛公国公布的学校法令规定</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特点：</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1、强制性</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2、统一性</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3、免费性</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 xml:space="preserve">考点三十一  教育目的 </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p>
      <w:pPr>
        <w:numPr>
          <w:ilvl w:val="0"/>
          <w:numId w:val="3"/>
        </w:num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概念</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是国家对把受教育者培养成什么样的人才的总的要求，是国家为培养人才而确定的质量规格和标准。</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2、意义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导向、激励、评价 、调节</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3、层次结构：</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国家——教育目的</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学校——培养目标</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教师——教学目标</w:t>
      </w:r>
    </w:p>
    <w:p>
      <w:pPr>
        <w:spacing w:line="360" w:lineRule="auto"/>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考点三十二  个人本位论和社会本位论</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635"/>
        <w:gridCol w:w="2535"/>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确立理论</w:t>
            </w:r>
          </w:p>
        </w:tc>
        <w:tc>
          <w:tcPr>
            <w:tcW w:w="1635"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代表人物</w:t>
            </w:r>
          </w:p>
        </w:tc>
        <w:tc>
          <w:tcPr>
            <w:tcW w:w="2535"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基本观点</w:t>
            </w:r>
          </w:p>
        </w:tc>
        <w:tc>
          <w:tcPr>
            <w:tcW w:w="2490" w:type="dxa"/>
            <w:shd w:val="clear" w:color="auto" w:fill="auto"/>
            <w:noWrap w:val="0"/>
            <w:vAlign w:val="top"/>
          </w:tcPr>
          <w:p>
            <w:pPr>
              <w:spacing w:line="360" w:lineRule="auto"/>
              <w:jc w:val="left"/>
              <w:rPr>
                <w:rFonts w:hint="eastAsia" w:ascii="宋体" w:hAnsi="宋体" w:cs="微软雅黑"/>
                <w:b/>
                <w:bCs/>
                <w:color w:val="0070C0"/>
                <w:sz w:val="24"/>
              </w:rPr>
            </w:pPr>
            <w:r>
              <w:rPr>
                <w:rFonts w:hint="eastAsia" w:ascii="宋体" w:hAnsi="宋体" w:cs="微软雅黑"/>
                <w:b/>
                <w:bCs/>
                <w:color w:val="0070C0"/>
                <w:sz w:val="24"/>
              </w:rPr>
              <w:t>不足之处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个人本位论</w:t>
            </w:r>
          </w:p>
        </w:tc>
        <w:tc>
          <w:tcPr>
            <w:tcW w:w="163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卢梭</w:t>
            </w:r>
          </w:p>
          <w:p>
            <w:pPr>
              <w:spacing w:line="360" w:lineRule="auto"/>
              <w:jc w:val="left"/>
              <w:rPr>
                <w:rFonts w:hint="eastAsia" w:ascii="宋体" w:hAnsi="宋体" w:cs="微软雅黑"/>
                <w:color w:val="000000"/>
                <w:sz w:val="24"/>
              </w:rPr>
            </w:pPr>
            <w:r>
              <w:rPr>
                <w:rFonts w:hint="eastAsia" w:ascii="宋体" w:hAnsi="宋体" w:cs="微软雅黑"/>
                <w:color w:val="000000"/>
                <w:sz w:val="24"/>
              </w:rPr>
              <w:t>洛克</w:t>
            </w:r>
          </w:p>
          <w:p>
            <w:pPr>
              <w:spacing w:line="360" w:lineRule="auto"/>
              <w:jc w:val="left"/>
              <w:rPr>
                <w:rFonts w:hint="eastAsia" w:ascii="宋体" w:hAnsi="宋体" w:cs="微软雅黑"/>
                <w:color w:val="000000"/>
                <w:sz w:val="24"/>
              </w:rPr>
            </w:pPr>
            <w:r>
              <w:rPr>
                <w:rFonts w:hint="eastAsia" w:ascii="宋体" w:hAnsi="宋体" w:cs="微软雅黑"/>
                <w:color w:val="000000"/>
                <w:sz w:val="24"/>
              </w:rPr>
              <w:t>裴斯泰洛齐</w:t>
            </w:r>
          </w:p>
          <w:p>
            <w:pPr>
              <w:spacing w:line="360" w:lineRule="auto"/>
              <w:jc w:val="left"/>
              <w:rPr>
                <w:rFonts w:hint="eastAsia" w:ascii="宋体" w:hAnsi="宋体" w:cs="微软雅黑"/>
                <w:color w:val="000000"/>
                <w:sz w:val="24"/>
              </w:rPr>
            </w:pPr>
            <w:r>
              <w:rPr>
                <w:rFonts w:hint="eastAsia" w:ascii="宋体" w:hAnsi="宋体" w:cs="微软雅黑"/>
                <w:color w:val="000000"/>
                <w:sz w:val="24"/>
              </w:rPr>
              <w:t>福禄贝尔</w:t>
            </w:r>
          </w:p>
          <w:p>
            <w:pPr>
              <w:spacing w:line="360" w:lineRule="auto"/>
              <w:jc w:val="left"/>
              <w:rPr>
                <w:rFonts w:hint="eastAsia" w:ascii="宋体" w:hAnsi="宋体" w:cs="微软雅黑"/>
                <w:color w:val="000000"/>
                <w:sz w:val="24"/>
              </w:rPr>
            </w:pPr>
          </w:p>
        </w:tc>
        <w:tc>
          <w:tcPr>
            <w:tcW w:w="2535" w:type="dxa"/>
            <w:shd w:val="clear" w:color="auto" w:fill="auto"/>
            <w:noWrap w:val="0"/>
            <w:vAlign w:val="top"/>
          </w:tcPr>
          <w:p>
            <w:pPr>
              <w:numPr>
                <w:ilvl w:val="0"/>
                <w:numId w:val="4"/>
              </w:numPr>
              <w:spacing w:line="360" w:lineRule="auto"/>
              <w:jc w:val="left"/>
              <w:rPr>
                <w:rFonts w:hint="eastAsia" w:ascii="宋体" w:hAnsi="宋体" w:cs="微软雅黑"/>
                <w:color w:val="000000"/>
                <w:sz w:val="24"/>
              </w:rPr>
            </w:pPr>
            <w:r>
              <w:rPr>
                <w:rFonts w:hint="eastAsia" w:ascii="宋体" w:hAnsi="宋体" w:cs="微软雅黑"/>
                <w:color w:val="000000"/>
                <w:sz w:val="24"/>
              </w:rPr>
              <w:t>教育目的应依据个人的需要来确定。</w:t>
            </w:r>
          </w:p>
          <w:p>
            <w:pPr>
              <w:spacing w:line="360" w:lineRule="auto"/>
              <w:jc w:val="left"/>
              <w:rPr>
                <w:rFonts w:hint="eastAsia" w:ascii="宋体" w:hAnsi="宋体" w:cs="微软雅黑"/>
                <w:color w:val="000000"/>
                <w:sz w:val="24"/>
              </w:rPr>
            </w:pPr>
            <w:r>
              <w:rPr>
                <w:rFonts w:hint="eastAsia" w:ascii="宋体" w:hAnsi="宋体" w:cs="微软雅黑"/>
                <w:color w:val="000000"/>
                <w:sz w:val="24"/>
              </w:rPr>
              <w:t>2、个人价值高于社会价值</w:t>
            </w:r>
          </w:p>
          <w:p>
            <w:pPr>
              <w:spacing w:line="360" w:lineRule="auto"/>
              <w:jc w:val="left"/>
              <w:rPr>
                <w:rFonts w:hint="eastAsia" w:ascii="宋体" w:hAnsi="宋体" w:cs="微软雅黑"/>
                <w:color w:val="000000"/>
                <w:sz w:val="24"/>
              </w:rPr>
            </w:pPr>
            <w:r>
              <w:rPr>
                <w:rFonts w:hint="eastAsia" w:ascii="宋体" w:hAnsi="宋体" w:cs="微软雅黑"/>
                <w:color w:val="000000"/>
                <w:sz w:val="24"/>
              </w:rPr>
              <w:t>3、教育价值也应以是否有利于个人发展为标准</w:t>
            </w:r>
          </w:p>
        </w:tc>
        <w:tc>
          <w:tcPr>
            <w:tcW w:w="24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排斥社会对教育的制约</w:t>
            </w:r>
          </w:p>
          <w:p>
            <w:pPr>
              <w:spacing w:line="360" w:lineRule="auto"/>
              <w:jc w:val="left"/>
              <w:rPr>
                <w:rFonts w:hint="eastAsia" w:ascii="宋体" w:hAnsi="宋体" w:cs="微软雅黑"/>
                <w:color w:val="000000"/>
                <w:sz w:val="24"/>
              </w:rPr>
            </w:pPr>
            <w:r>
              <w:rPr>
                <w:rFonts w:hint="eastAsia" w:ascii="宋体" w:hAnsi="宋体" w:cs="微软雅黑"/>
                <w:color w:val="000000"/>
                <w:sz w:val="24"/>
              </w:rPr>
              <w:t>排斥人对社会的需要</w:t>
            </w:r>
          </w:p>
          <w:p>
            <w:pPr>
              <w:spacing w:line="360" w:lineRule="auto"/>
              <w:jc w:val="left"/>
              <w:rPr>
                <w:rFonts w:hint="eastAsia" w:ascii="宋体" w:hAnsi="宋体" w:cs="微软雅黑"/>
                <w:color w:val="000000"/>
                <w:sz w:val="24"/>
              </w:rPr>
            </w:pPr>
            <w:r>
              <w:rPr>
                <w:rFonts w:hint="eastAsia" w:ascii="宋体" w:hAnsi="宋体" w:cs="微软雅黑"/>
                <w:color w:val="000000"/>
                <w:sz w:val="24"/>
              </w:rPr>
              <w:t>导致自然主义和自由主义倾向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社会本位论</w:t>
            </w:r>
          </w:p>
          <w:p>
            <w:pPr>
              <w:spacing w:line="360" w:lineRule="auto"/>
              <w:jc w:val="left"/>
              <w:rPr>
                <w:rFonts w:hint="eastAsia" w:ascii="宋体" w:hAnsi="宋体" w:cs="微软雅黑"/>
                <w:color w:val="000000"/>
                <w:sz w:val="24"/>
              </w:rPr>
            </w:pPr>
          </w:p>
        </w:tc>
        <w:tc>
          <w:tcPr>
            <w:tcW w:w="1635"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孔德</w:t>
            </w:r>
          </w:p>
          <w:p>
            <w:pPr>
              <w:spacing w:line="360" w:lineRule="auto"/>
              <w:jc w:val="left"/>
              <w:rPr>
                <w:rFonts w:hint="eastAsia" w:ascii="宋体" w:hAnsi="宋体" w:cs="微软雅黑"/>
                <w:color w:val="000000"/>
                <w:sz w:val="24"/>
              </w:rPr>
            </w:pPr>
            <w:r>
              <w:rPr>
                <w:rFonts w:hint="eastAsia" w:ascii="宋体" w:hAnsi="宋体" w:cs="微软雅黑"/>
                <w:color w:val="000000"/>
                <w:sz w:val="24"/>
              </w:rPr>
              <w:t>涂尔干</w:t>
            </w:r>
          </w:p>
          <w:p>
            <w:pPr>
              <w:spacing w:line="360" w:lineRule="auto"/>
              <w:jc w:val="left"/>
              <w:rPr>
                <w:rFonts w:hint="eastAsia" w:ascii="宋体" w:hAnsi="宋体" w:cs="微软雅黑"/>
                <w:color w:val="000000"/>
                <w:sz w:val="24"/>
              </w:rPr>
            </w:pPr>
            <w:r>
              <w:rPr>
                <w:rFonts w:hint="eastAsia" w:ascii="宋体" w:hAnsi="宋体" w:cs="微软雅黑"/>
                <w:color w:val="000000"/>
                <w:sz w:val="24"/>
              </w:rPr>
              <w:t>赫尔巴特</w:t>
            </w:r>
          </w:p>
          <w:p>
            <w:pPr>
              <w:spacing w:line="360" w:lineRule="auto"/>
              <w:jc w:val="left"/>
              <w:rPr>
                <w:rFonts w:hint="eastAsia" w:ascii="宋体" w:hAnsi="宋体" w:cs="微软雅黑"/>
                <w:color w:val="000000"/>
                <w:sz w:val="24"/>
              </w:rPr>
            </w:pPr>
            <w:r>
              <w:rPr>
                <w:rFonts w:hint="eastAsia" w:ascii="宋体" w:hAnsi="宋体" w:cs="微软雅黑"/>
                <w:color w:val="000000"/>
                <w:sz w:val="24"/>
              </w:rPr>
              <w:t>凯兴斯泰纳</w:t>
            </w:r>
          </w:p>
          <w:p>
            <w:pPr>
              <w:spacing w:line="360" w:lineRule="auto"/>
              <w:jc w:val="left"/>
              <w:rPr>
                <w:rFonts w:hint="eastAsia" w:ascii="宋体" w:hAnsi="宋体" w:cs="微软雅黑"/>
                <w:color w:val="000000"/>
                <w:sz w:val="24"/>
              </w:rPr>
            </w:pPr>
          </w:p>
        </w:tc>
        <w:tc>
          <w:tcPr>
            <w:tcW w:w="2535" w:type="dxa"/>
            <w:shd w:val="clear" w:color="auto" w:fill="auto"/>
            <w:noWrap w:val="0"/>
            <w:vAlign w:val="top"/>
          </w:tcPr>
          <w:p>
            <w:pPr>
              <w:numPr>
                <w:ilvl w:val="0"/>
                <w:numId w:val="5"/>
              </w:numPr>
              <w:spacing w:line="360" w:lineRule="auto"/>
              <w:jc w:val="left"/>
              <w:rPr>
                <w:rFonts w:hint="eastAsia" w:ascii="宋体" w:hAnsi="宋体" w:cs="微软雅黑"/>
                <w:color w:val="000000"/>
                <w:sz w:val="24"/>
              </w:rPr>
            </w:pPr>
            <w:r>
              <w:rPr>
                <w:rFonts w:hint="eastAsia" w:ascii="宋体" w:hAnsi="宋体" w:cs="微软雅黑"/>
                <w:color w:val="000000"/>
                <w:sz w:val="24"/>
              </w:rPr>
              <w:t>教育目的应根据社会的需要来确定</w:t>
            </w:r>
          </w:p>
          <w:p>
            <w:pPr>
              <w:spacing w:line="360" w:lineRule="auto"/>
              <w:jc w:val="left"/>
              <w:rPr>
                <w:rFonts w:hint="eastAsia" w:ascii="宋体" w:hAnsi="宋体" w:cs="微软雅黑"/>
                <w:color w:val="000000"/>
                <w:sz w:val="24"/>
              </w:rPr>
            </w:pPr>
            <w:r>
              <w:rPr>
                <w:rFonts w:hint="eastAsia" w:ascii="宋体" w:hAnsi="宋体" w:cs="微软雅黑"/>
                <w:color w:val="000000"/>
                <w:sz w:val="24"/>
              </w:rPr>
              <w:t>2、社会价值高于个人价值</w:t>
            </w:r>
          </w:p>
          <w:p>
            <w:pPr>
              <w:spacing w:line="360" w:lineRule="auto"/>
              <w:jc w:val="left"/>
              <w:rPr>
                <w:rFonts w:hint="eastAsia" w:ascii="宋体" w:hAnsi="宋体" w:cs="微软雅黑"/>
                <w:color w:val="000000"/>
                <w:sz w:val="24"/>
              </w:rPr>
            </w:pPr>
            <w:r>
              <w:rPr>
                <w:rFonts w:hint="eastAsia" w:ascii="宋体" w:hAnsi="宋体" w:cs="微软雅黑"/>
                <w:color w:val="000000"/>
                <w:sz w:val="24"/>
              </w:rPr>
              <w:t>3、教育结果的好坏，主要看它对社会贡献了什么、贡献的程度如何。</w:t>
            </w:r>
          </w:p>
        </w:tc>
        <w:tc>
          <w:tcPr>
            <w:tcW w:w="2490"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完全否定教育目的受个人因素制约</w:t>
            </w:r>
          </w:p>
          <w:p>
            <w:pPr>
              <w:spacing w:line="360" w:lineRule="auto"/>
              <w:jc w:val="left"/>
              <w:rPr>
                <w:rFonts w:hint="eastAsia" w:ascii="宋体" w:hAnsi="宋体" w:cs="微软雅黑"/>
                <w:color w:val="000000"/>
                <w:sz w:val="24"/>
              </w:rPr>
            </w:pPr>
            <w:r>
              <w:rPr>
                <w:rFonts w:hint="eastAsia" w:ascii="宋体" w:hAnsi="宋体" w:cs="微软雅黑"/>
                <w:color w:val="000000"/>
                <w:sz w:val="24"/>
              </w:rPr>
              <w:t>压抑学生的个性发展</w:t>
            </w:r>
          </w:p>
          <w:p>
            <w:pPr>
              <w:spacing w:line="360" w:lineRule="auto"/>
              <w:jc w:val="left"/>
              <w:rPr>
                <w:rFonts w:hint="eastAsia" w:ascii="宋体" w:hAnsi="宋体" w:cs="微软雅黑"/>
                <w:color w:val="000000"/>
                <w:sz w:val="24"/>
              </w:rPr>
            </w:pPr>
          </w:p>
        </w:tc>
      </w:tr>
    </w:tbl>
    <w:p>
      <w:pPr>
        <w:spacing w:line="360" w:lineRule="auto"/>
        <w:ind w:firstLine="480" w:firstLineChars="200"/>
        <w:jc w:val="left"/>
        <w:rPr>
          <w:rFonts w:hint="eastAsia" w:ascii="宋体" w:hAnsi="宋体" w:cs="微软雅黑"/>
          <w:color w:val="000000"/>
          <w:sz w:val="24"/>
        </w:rPr>
      </w:pP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考点三十三  课程的词源</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noWrap w:val="0"/>
            <w:vAlign w:val="top"/>
          </w:tcPr>
          <w:p>
            <w:pPr>
              <w:spacing w:line="360" w:lineRule="auto"/>
              <w:jc w:val="center"/>
              <w:rPr>
                <w:rFonts w:hint="eastAsia" w:ascii="宋体" w:hAnsi="宋体" w:cs="微软雅黑"/>
                <w:color w:val="000000"/>
                <w:sz w:val="24"/>
              </w:rPr>
            </w:pPr>
            <w:r>
              <w:rPr>
                <w:rFonts w:hint="eastAsia" w:ascii="宋体" w:hAnsi="宋体" w:cs="微软雅黑"/>
                <w:color w:val="000000"/>
                <w:sz w:val="24"/>
              </w:rPr>
              <w:t>我国</w:t>
            </w:r>
          </w:p>
        </w:tc>
        <w:tc>
          <w:tcPr>
            <w:tcW w:w="4261" w:type="dxa"/>
            <w:shd w:val="clear" w:color="auto" w:fill="auto"/>
            <w:noWrap w:val="0"/>
            <w:vAlign w:val="top"/>
          </w:tcPr>
          <w:p>
            <w:pPr>
              <w:spacing w:line="360" w:lineRule="auto"/>
              <w:jc w:val="center"/>
              <w:rPr>
                <w:rFonts w:hint="eastAsia" w:ascii="宋体" w:hAnsi="宋体" w:cs="微软雅黑"/>
                <w:color w:val="000000"/>
                <w:sz w:val="24"/>
              </w:rPr>
            </w:pPr>
            <w:r>
              <w:rPr>
                <w:rFonts w:hint="eastAsia" w:ascii="宋体" w:hAnsi="宋体" w:cs="微软雅黑"/>
                <w:color w:val="000000"/>
                <w:sz w:val="24"/>
              </w:rPr>
              <w:t>西方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“课程”一词始见于唐朝孔颖达为</w:t>
            </w:r>
            <w:r>
              <w:rPr>
                <w:rFonts w:hint="eastAsia" w:ascii="宋体" w:hAnsi="宋体" w:cs="微软雅黑"/>
                <w:b/>
                <w:bCs/>
                <w:color w:val="4BACC6"/>
                <w:sz w:val="24"/>
              </w:rPr>
              <w:t>《诗经》</w:t>
            </w:r>
            <w:r>
              <w:rPr>
                <w:rFonts w:hint="eastAsia" w:ascii="宋体" w:hAnsi="宋体" w:cs="微软雅黑"/>
                <w:color w:val="000000"/>
                <w:sz w:val="24"/>
              </w:rPr>
              <w:t>作注。</w:t>
            </w:r>
          </w:p>
          <w:p>
            <w:pPr>
              <w:spacing w:line="360" w:lineRule="auto"/>
              <w:jc w:val="left"/>
              <w:rPr>
                <w:rFonts w:hint="eastAsia" w:ascii="宋体" w:hAnsi="宋体" w:cs="微软雅黑"/>
                <w:color w:val="000000"/>
                <w:sz w:val="24"/>
              </w:rPr>
            </w:pPr>
            <w:r>
              <w:rPr>
                <w:rFonts w:hint="eastAsia" w:ascii="宋体" w:hAnsi="宋体" w:cs="微软雅黑"/>
                <w:color w:val="000000"/>
                <w:sz w:val="24"/>
              </w:rPr>
              <w:t>宋朝，朱熹“宽着期限，紧着课程”，这是我国最早具有现代意义的课程概念。</w:t>
            </w:r>
          </w:p>
        </w:tc>
        <w:tc>
          <w:tcPr>
            <w:tcW w:w="4261" w:type="dxa"/>
            <w:shd w:val="clear" w:color="auto" w:fill="auto"/>
            <w:noWrap w:val="0"/>
            <w:vAlign w:val="top"/>
          </w:tcPr>
          <w:p>
            <w:pPr>
              <w:spacing w:line="360" w:lineRule="auto"/>
              <w:jc w:val="left"/>
              <w:rPr>
                <w:rFonts w:hint="eastAsia" w:ascii="宋体" w:hAnsi="宋体" w:cs="微软雅黑"/>
                <w:color w:val="000000"/>
                <w:sz w:val="24"/>
              </w:rPr>
            </w:pPr>
            <w:r>
              <w:rPr>
                <w:rFonts w:hint="eastAsia" w:ascii="宋体" w:hAnsi="宋体" w:cs="微软雅黑"/>
                <w:color w:val="000000"/>
                <w:sz w:val="24"/>
              </w:rPr>
              <w:t>在西方，课程一词源于拉丁语，意为跑马道，指学生要沿着学习的“跑到”进行学习。</w:t>
            </w:r>
          </w:p>
          <w:p>
            <w:pPr>
              <w:spacing w:line="360" w:lineRule="auto"/>
              <w:jc w:val="left"/>
              <w:rPr>
                <w:rFonts w:hint="eastAsia" w:ascii="宋体" w:hAnsi="宋体" w:cs="微软雅黑"/>
                <w:b/>
                <w:bCs/>
                <w:color w:val="4BACC6"/>
                <w:sz w:val="24"/>
              </w:rPr>
            </w:pPr>
            <w:r>
              <w:rPr>
                <w:rFonts w:hint="eastAsia" w:ascii="宋体" w:hAnsi="宋体" w:cs="微软雅黑"/>
                <w:color w:val="000000"/>
                <w:sz w:val="24"/>
              </w:rPr>
              <w:t>始于英国教育家斯宾塞 —</w:t>
            </w:r>
            <w:r>
              <w:rPr>
                <w:rFonts w:hint="eastAsia" w:ascii="宋体" w:hAnsi="宋体" w:cs="微软雅黑"/>
                <w:b/>
                <w:bCs/>
                <w:color w:val="4BACC6"/>
                <w:sz w:val="24"/>
              </w:rPr>
              <w:t>《什么知识最有价值》。</w:t>
            </w:r>
          </w:p>
          <w:p>
            <w:pPr>
              <w:spacing w:line="360" w:lineRule="auto"/>
              <w:jc w:val="left"/>
              <w:rPr>
                <w:rFonts w:hint="eastAsia" w:ascii="宋体" w:hAnsi="宋体" w:cs="微软雅黑"/>
                <w:color w:val="000000"/>
                <w:sz w:val="24"/>
              </w:rPr>
            </w:pPr>
          </w:p>
        </w:tc>
      </w:tr>
    </w:tbl>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考点三十四  不同课程流派的基本观点</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（一）</w:t>
      </w:r>
      <w:r>
        <w:rPr>
          <w:rFonts w:hint="eastAsia" w:ascii="宋体" w:hAnsi="宋体" w:cs="微软雅黑"/>
          <w:b/>
          <w:bCs/>
          <w:color w:val="0070C0"/>
          <w:sz w:val="24"/>
        </w:rPr>
        <w:t>学科</w:t>
      </w:r>
      <w:r>
        <w:rPr>
          <w:rFonts w:hint="eastAsia" w:ascii="宋体" w:hAnsi="宋体" w:cs="微软雅黑"/>
          <w:color w:val="000000"/>
          <w:sz w:val="24"/>
        </w:rPr>
        <w:t>中心课程论——</w:t>
      </w:r>
      <w:r>
        <w:rPr>
          <w:rFonts w:hint="eastAsia" w:ascii="宋体" w:hAnsi="宋体" w:cs="微软雅黑"/>
          <w:b/>
          <w:bCs/>
          <w:color w:val="0070C0"/>
          <w:sz w:val="24"/>
        </w:rPr>
        <w:t>知识</w:t>
      </w:r>
      <w:r>
        <w:rPr>
          <w:rFonts w:hint="eastAsia" w:ascii="宋体" w:hAnsi="宋体" w:cs="微软雅黑"/>
          <w:color w:val="000000"/>
          <w:sz w:val="24"/>
        </w:rPr>
        <w:t>是课程的核心；</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（二）</w:t>
      </w:r>
      <w:r>
        <w:rPr>
          <w:rFonts w:hint="eastAsia" w:ascii="宋体" w:hAnsi="宋体" w:cs="微软雅黑"/>
          <w:b/>
          <w:bCs/>
          <w:color w:val="0070C0"/>
          <w:sz w:val="24"/>
        </w:rPr>
        <w:t>活动</w:t>
      </w:r>
      <w:r>
        <w:rPr>
          <w:rFonts w:hint="eastAsia" w:ascii="宋体" w:hAnsi="宋体" w:cs="微软雅黑"/>
          <w:color w:val="000000"/>
          <w:sz w:val="24"/>
        </w:rPr>
        <w:t>中心课程论——</w:t>
      </w:r>
      <w:r>
        <w:rPr>
          <w:rFonts w:hint="eastAsia" w:ascii="宋体" w:hAnsi="宋体" w:cs="微软雅黑"/>
          <w:b/>
          <w:bCs/>
          <w:color w:val="0070C0"/>
          <w:sz w:val="24"/>
        </w:rPr>
        <w:t>学生、经验</w:t>
      </w:r>
      <w:r>
        <w:rPr>
          <w:rFonts w:hint="eastAsia" w:ascii="宋体" w:hAnsi="宋体" w:cs="微软雅黑"/>
          <w:color w:val="000000"/>
          <w:sz w:val="24"/>
        </w:rPr>
        <w:t>是课程的核心</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（三）</w:t>
      </w:r>
      <w:r>
        <w:rPr>
          <w:rFonts w:hint="eastAsia" w:ascii="宋体" w:hAnsi="宋体" w:cs="微软雅黑"/>
          <w:b/>
          <w:bCs/>
          <w:color w:val="0070C0"/>
          <w:sz w:val="24"/>
        </w:rPr>
        <w:t>社会</w:t>
      </w:r>
      <w:r>
        <w:rPr>
          <w:rFonts w:hint="eastAsia" w:ascii="宋体" w:hAnsi="宋体" w:cs="微软雅黑"/>
          <w:color w:val="000000"/>
          <w:sz w:val="24"/>
        </w:rPr>
        <w:t>中心课程论——</w:t>
      </w:r>
      <w:r>
        <w:rPr>
          <w:rFonts w:hint="eastAsia" w:ascii="宋体" w:hAnsi="宋体" w:cs="微软雅黑"/>
          <w:b/>
          <w:bCs/>
          <w:color w:val="0070C0"/>
          <w:sz w:val="24"/>
        </w:rPr>
        <w:t>社会改造</w:t>
      </w:r>
      <w:r>
        <w:rPr>
          <w:rFonts w:hint="eastAsia" w:ascii="宋体" w:hAnsi="宋体" w:cs="微软雅黑"/>
          <w:color w:val="000000"/>
          <w:sz w:val="24"/>
        </w:rPr>
        <w:t>是课程的中心</w:t>
      </w:r>
    </w:p>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考点三十五   课程的分类</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1066"/>
        <w:gridCol w:w="954"/>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noWrap w:val="0"/>
            <w:vAlign w:val="center"/>
          </w:tcPr>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划分标准</w:t>
            </w:r>
          </w:p>
        </w:tc>
        <w:tc>
          <w:tcPr>
            <w:tcW w:w="6392" w:type="dxa"/>
            <w:gridSpan w:val="4"/>
            <w:shd w:val="clear" w:color="auto" w:fill="auto"/>
            <w:noWrap w:val="0"/>
            <w:vAlign w:val="center"/>
          </w:tcPr>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具体分类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组织方式</w:t>
            </w:r>
          </w:p>
        </w:tc>
        <w:tc>
          <w:tcPr>
            <w:tcW w:w="2130"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分科课程</w:t>
            </w:r>
          </w:p>
        </w:tc>
        <w:tc>
          <w:tcPr>
            <w:tcW w:w="2020" w:type="dxa"/>
            <w:gridSpan w:val="2"/>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综合课程</w:t>
            </w:r>
          </w:p>
        </w:tc>
        <w:tc>
          <w:tcPr>
            <w:tcW w:w="2242"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活动课程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实施要求</w:t>
            </w:r>
          </w:p>
        </w:tc>
        <w:tc>
          <w:tcPr>
            <w:tcW w:w="3196" w:type="dxa"/>
            <w:gridSpan w:val="2"/>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必修课程</w:t>
            </w:r>
          </w:p>
        </w:tc>
        <w:tc>
          <w:tcPr>
            <w:tcW w:w="3196" w:type="dxa"/>
            <w:gridSpan w:val="2"/>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选修课程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主体不同</w:t>
            </w:r>
          </w:p>
        </w:tc>
        <w:tc>
          <w:tcPr>
            <w:tcW w:w="2130"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国家课程</w:t>
            </w:r>
          </w:p>
        </w:tc>
        <w:tc>
          <w:tcPr>
            <w:tcW w:w="2020" w:type="dxa"/>
            <w:gridSpan w:val="2"/>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地方课程</w:t>
            </w:r>
          </w:p>
        </w:tc>
        <w:tc>
          <w:tcPr>
            <w:tcW w:w="2242"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校本课程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呈现方式</w:t>
            </w:r>
          </w:p>
        </w:tc>
        <w:tc>
          <w:tcPr>
            <w:tcW w:w="3196" w:type="dxa"/>
            <w:gridSpan w:val="2"/>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显性课程</w:t>
            </w:r>
          </w:p>
        </w:tc>
        <w:tc>
          <w:tcPr>
            <w:tcW w:w="3196" w:type="dxa"/>
            <w:gridSpan w:val="2"/>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隐性课程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5"/>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最早提出“隐性课程”这一概念的是美国教育、课程理论专家</w:t>
            </w:r>
            <w:r>
              <w:rPr>
                <w:rFonts w:hint="eastAsia" w:ascii="宋体" w:hAnsi="宋体" w:cs="微软雅黑"/>
                <w:b/>
                <w:bCs/>
                <w:color w:val="0070C0"/>
                <w:sz w:val="24"/>
                <w:shd w:val="clear" w:color="auto" w:fill="FFFFFF"/>
              </w:rPr>
              <w:t>杰克逊。</w:t>
            </w:r>
          </w:p>
        </w:tc>
      </w:tr>
    </w:tbl>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考点三十六  教科书编写的基本原则</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 xml:space="preserve">题型涉及：单选  简答 </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(1)按照本学科的特点，体现科学性与思想性；</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(2)强调内容的基础性。在加强基础知识和基本技能的同时，注意贴近社会生活，并适当渗透先进的科学思想，为学生今后学习新知识奠定基础；</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(3)在保证科学性的前提下，教材还要考虑到我国社会发展现实水平和教育现状，必须注意到基本教材对大多数学生和大多数学校的适用性；</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(4)合理体现各科知识的逻辑顺序和受教育者学习的心理顺序；</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(5)兼顾同一年级各门学科内容之间的关系和同一学科各年级教材之间的衔接。</w:t>
      </w:r>
    </w:p>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考点三十七  课程结构</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1、整体设置九年一贯的义务教育课程</w:t>
      </w:r>
    </w:p>
    <w:p>
      <w:pPr>
        <w:spacing w:line="360" w:lineRule="auto"/>
        <w:ind w:firstLine="482" w:firstLineChars="200"/>
        <w:jc w:val="left"/>
        <w:rPr>
          <w:rFonts w:hint="eastAsia" w:ascii="宋体" w:hAnsi="宋体" w:cs="微软雅黑"/>
          <w:sz w:val="24"/>
        </w:rPr>
      </w:pPr>
      <w:r>
        <w:rPr>
          <w:rFonts w:hint="eastAsia" w:ascii="宋体" w:hAnsi="宋体" w:cs="微软雅黑"/>
          <w:b/>
          <w:bCs/>
          <w:color w:val="0070C0"/>
          <w:sz w:val="24"/>
        </w:rPr>
        <w:t>小学</w:t>
      </w:r>
      <w:r>
        <w:rPr>
          <w:rFonts w:hint="eastAsia" w:ascii="宋体" w:hAnsi="宋体" w:cs="微软雅黑"/>
          <w:sz w:val="24"/>
        </w:rPr>
        <w:t>阶段以</w:t>
      </w:r>
      <w:r>
        <w:rPr>
          <w:rFonts w:hint="eastAsia" w:ascii="宋体" w:hAnsi="宋体" w:cs="微软雅黑"/>
          <w:b/>
          <w:bCs/>
          <w:color w:val="0070C0"/>
          <w:sz w:val="24"/>
        </w:rPr>
        <w:t>综合</w:t>
      </w:r>
      <w:r>
        <w:rPr>
          <w:rFonts w:hint="eastAsia" w:ascii="宋体" w:hAnsi="宋体" w:cs="微软雅黑"/>
          <w:sz w:val="24"/>
        </w:rPr>
        <w:t>课程为主</w:t>
      </w:r>
    </w:p>
    <w:p>
      <w:pPr>
        <w:spacing w:line="360" w:lineRule="auto"/>
        <w:ind w:firstLine="482" w:firstLineChars="200"/>
        <w:jc w:val="left"/>
        <w:rPr>
          <w:rFonts w:hint="eastAsia" w:ascii="宋体" w:hAnsi="宋体" w:cs="微软雅黑"/>
          <w:sz w:val="24"/>
        </w:rPr>
      </w:pPr>
      <w:r>
        <w:rPr>
          <w:rFonts w:hint="eastAsia" w:ascii="宋体" w:hAnsi="宋体" w:cs="微软雅黑"/>
          <w:b/>
          <w:bCs/>
          <w:color w:val="0070C0"/>
          <w:sz w:val="24"/>
        </w:rPr>
        <w:t>初中</w:t>
      </w:r>
      <w:r>
        <w:rPr>
          <w:rFonts w:hint="eastAsia" w:ascii="宋体" w:hAnsi="宋体" w:cs="微软雅黑"/>
          <w:sz w:val="24"/>
        </w:rPr>
        <w:t>阶段设置</w:t>
      </w:r>
      <w:r>
        <w:rPr>
          <w:rFonts w:hint="eastAsia" w:ascii="宋体" w:hAnsi="宋体" w:cs="微软雅黑"/>
          <w:b/>
          <w:bCs/>
          <w:color w:val="0070C0"/>
          <w:sz w:val="24"/>
        </w:rPr>
        <w:t>分科与综合相结合</w:t>
      </w:r>
      <w:r>
        <w:rPr>
          <w:rFonts w:hint="eastAsia" w:ascii="宋体" w:hAnsi="宋体" w:cs="微软雅黑"/>
          <w:sz w:val="24"/>
        </w:rPr>
        <w:t>的课程</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2、</w:t>
      </w:r>
      <w:r>
        <w:rPr>
          <w:rFonts w:hint="eastAsia" w:ascii="宋体" w:hAnsi="宋体" w:cs="微软雅黑"/>
          <w:b/>
          <w:bCs/>
          <w:color w:val="0070C0"/>
          <w:sz w:val="24"/>
        </w:rPr>
        <w:t>高中</w:t>
      </w:r>
      <w:r>
        <w:rPr>
          <w:rFonts w:hint="eastAsia" w:ascii="宋体" w:hAnsi="宋体" w:cs="微软雅黑"/>
          <w:sz w:val="24"/>
        </w:rPr>
        <w:t>以</w:t>
      </w:r>
      <w:r>
        <w:rPr>
          <w:rFonts w:hint="eastAsia" w:ascii="宋体" w:hAnsi="宋体" w:cs="微软雅黑"/>
          <w:b/>
          <w:bCs/>
          <w:color w:val="0070C0"/>
          <w:sz w:val="24"/>
        </w:rPr>
        <w:t>分科</w:t>
      </w:r>
      <w:r>
        <w:rPr>
          <w:rFonts w:hint="eastAsia" w:ascii="宋体" w:hAnsi="宋体" w:cs="微软雅黑"/>
          <w:sz w:val="24"/>
        </w:rPr>
        <w:t>课程为主。</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3、从</w:t>
      </w:r>
      <w:r>
        <w:rPr>
          <w:rFonts w:hint="eastAsia" w:ascii="宋体" w:hAnsi="宋体" w:cs="微软雅黑"/>
          <w:b/>
          <w:bCs/>
          <w:color w:val="0070C0"/>
          <w:sz w:val="24"/>
        </w:rPr>
        <w:t>小学至高中</w:t>
      </w:r>
      <w:r>
        <w:rPr>
          <w:rFonts w:hint="eastAsia" w:ascii="宋体" w:hAnsi="宋体" w:cs="微软雅黑"/>
          <w:sz w:val="24"/>
        </w:rPr>
        <w:t>设置综合实践活动并作为必修课程，其内容主要包括研究性学习、社区服务与社会实践、劳动与技术教育以及信息技术教育</w:t>
      </w:r>
    </w:p>
    <w:p>
      <w:pPr>
        <w:numPr>
          <w:ilvl w:val="0"/>
          <w:numId w:val="6"/>
        </w:numPr>
        <w:spacing w:line="360" w:lineRule="auto"/>
        <w:ind w:firstLine="480" w:firstLineChars="200"/>
        <w:jc w:val="left"/>
        <w:rPr>
          <w:rFonts w:hint="eastAsia" w:ascii="宋体" w:hAnsi="宋体" w:cs="微软雅黑"/>
          <w:sz w:val="24"/>
        </w:rPr>
      </w:pPr>
      <w:r>
        <w:rPr>
          <w:rFonts w:hint="eastAsia" w:ascii="宋体" w:hAnsi="宋体" w:cs="微软雅黑"/>
          <w:sz w:val="24"/>
        </w:rPr>
        <w:t>农村中学课程要为当地社会经济发展服务</w:t>
      </w:r>
    </w:p>
    <w:p>
      <w:pPr>
        <w:spacing w:line="360" w:lineRule="auto"/>
        <w:ind w:firstLine="480" w:firstLineChars="200"/>
        <w:jc w:val="left"/>
        <w:rPr>
          <w:rFonts w:hint="eastAsia" w:ascii="宋体" w:hAnsi="宋体" w:cs="微软雅黑"/>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考点三十八  教学过程的基本规律</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简答 材料</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（一）直接经验与间接经验相统一的规律（间接性规律）</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1．学生以学习间接经验为主—学习间接经验是学生认识客观世界的基本途径</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2．学生学习间接经验要以直接经验为基础</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（二）掌握知识与发展能力相统一的规律（发展性规律）</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1．掌握知识是发展能力的基础</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2．能力发展是掌握知识的重要条件</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（三）教师的主导作用与学生的主体作用相统一的规律（双边性规律）</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1．教师在教学过程中处于组织者的地位，应充分发挥教师的主导作用</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2．学生在教学过程中处于学习主体的地位，应充分发挥学生的主体能动性</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（四）传授知识与思想教育相统一的规律（教育性规律）</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1．知识是思想品德形成的基础</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2．学生思想品德的提高又为他们积极地学习知识奠定了基础</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 xml:space="preserve">考点三十九  备课 </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简答</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1、备好课是上好课的前提</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2、备课的要求</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要做好三方面的工作</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—钻研教材</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—了解学生</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—设计教法</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要写好三种计划</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—学期（学年）教学进度计划</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—课题（或单元）计划</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—课时计划（教案）</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  测验法之测验的质量指标</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1、信度：是指测验结果的可靠程度。即某一测验在多次施测后所得到的分数的一致程度。</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2、效度：指测验达到测验目的的程度，即一个测验是否测量出其所要测量的东西。</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3、难度：是指测验包含的试题难易程度。</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4、区分度：是指测验对考生的不同水平能够区分的程度，即具有区分不同水平考生的能力。</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考点四十一  我国中学常用的教学原则</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简答 材料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1、直观性原则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2、启发性原则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3、循序渐进原则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4、巩固性原则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5、因材施教原则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6、理论联系实际原则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7、发展性原则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8、科学性和思想性统一原则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记忆口诀：有才（因材）冯巩（巩固性）寻（循）思（思想）理（理论）直（直观）发（启发、发展）</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考点四十二   常见的教学组织形式</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1、个别教学制（最早）</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传授知识，布置、检查和批改作业——个别进行。</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古代中国、埃及和希腊的学校大都采用个别教学形式。</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2、班级授课制（最早实施：京师同文馆）</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班级授课制——集体教学——按年龄、知识程度编成固定的班级。</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3、分组教学制</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分组教学是按学生能力或学生成绩把他们分成水平不同的组进行教学的组织形式</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4、设计教学法和道尔顿制</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设计教学法——克伯屈创立——学生自己决定学习目的和内容，自己设计</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道尔顿制——柏克赫斯特创立——学生自学</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特朗普制——大班上课、小班研究、个别教学</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导生制——年龄较大或较优秀——老师助手</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考点四十三  感觉和知觉</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感觉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1、感觉适应——明适应（转入明）、暗适应（转入暗）</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2、感觉后像——正后象（一致）、负后像（不一致）</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3、感觉对比——同时对比、先后对比</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4、不同感觉的相互作用——联觉、感觉补偿</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知觉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1、注意的广度——范围</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2、注意的稳定性——时间</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3、注意的分配——同一时间做多种事</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4、注意的转移—— 一事物转移到另一事物</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考点四十三  皮亚杰的认知发展阶段理论</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1、感知运动阶段（0~2岁）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—感觉和动作的分化</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—客体永久性</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—特点：被动反应转为积极主动反映</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看不到物体认为不存在转为看不到物体认为仍然存在</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2、前运算阶段（2~7岁）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—感知运动图式开始内化为表象或形象图示</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—特征：单维思维</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思维不可逆</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自我中心（三山实验）</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3、具体运算阶段（7~11岁）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—守恒概念：指儿童认识到虽然在外形上发生了变化，但其特有属性不变。</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—特征：多维思维</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思维可逆</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去自我中心</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具体逻辑思维</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4、形式运算阶段（11~15岁）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—命题之间的关系</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—假设演绎推理</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—抽象逻辑思维</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—可逆与补偿</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—思维的灵活性</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考点四十五  奥苏伯尔成就动机的分类</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 xml:space="preserve">题型涉及：单选 辨析 </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奥苏伯尔认为，学校情境中的成就动机至少应包括三方面的内驱力，即：</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1、认知内驱力—自身渴望获取知识—内部动机</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2、自我提高内驱力—渴望学业成就带来的地位和威望—外部动机</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3、附属内驱力—渴望长者赞许和同伴接纳—外部动机 </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考点四十六  耶克斯—多德森定律</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心理学的研究表明，动机强度与工作效率之间的关系并不是一种线性关系，而是</w:t>
      </w:r>
      <w:r>
        <w:rPr>
          <w:rFonts w:hint="eastAsia" w:ascii="宋体" w:hAnsi="宋体" w:cs="微软雅黑"/>
          <w:b/>
          <w:bCs/>
          <w:color w:val="0070C0"/>
          <w:sz w:val="24"/>
        </w:rPr>
        <w:t>倒U型曲线</w:t>
      </w:r>
      <w:r>
        <w:rPr>
          <w:rFonts w:hint="eastAsia" w:ascii="宋体" w:hAnsi="宋体" w:cs="微软雅黑"/>
          <w:color w:val="000000"/>
          <w:sz w:val="24"/>
        </w:rPr>
        <w:t>关系。中等强度的动机最有利于任务的完成，即动机强度处于中等水平时，工作效率最高。</w:t>
      </w:r>
    </w:p>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考点四十七  学习策略</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p>
      <w:pPr>
        <w:spacing w:line="360" w:lineRule="auto"/>
        <w:jc w:val="left"/>
        <w:rPr>
          <w:rFonts w:ascii="宋体" w:hAnsi="宋体"/>
          <w:sz w:val="24"/>
        </w:rPr>
      </w:pPr>
      <w:r>
        <w:rPr>
          <w:rFonts w:ascii="宋体" w:hAnsi="宋体"/>
          <w:sz w:val="24"/>
        </w:rPr>
        <w:drawing>
          <wp:inline distT="0" distB="0" distL="114300" distR="114300">
            <wp:extent cx="5639435" cy="2911475"/>
            <wp:effectExtent l="0" t="0" r="18415" b="3175"/>
            <wp:docPr id="6" name="图片 4" descr="XVN(89`4[_YTZ}BCFFU`)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XVN(89`4[_YTZ}BCFFU`)QR"/>
                    <pic:cNvPicPr>
                      <a:picLocks noChangeAspect="1"/>
                    </pic:cNvPicPr>
                  </pic:nvPicPr>
                  <pic:blipFill>
                    <a:blip r:embed="rId13"/>
                    <a:stretch>
                      <a:fillRect/>
                    </a:stretch>
                  </pic:blipFill>
                  <pic:spPr>
                    <a:xfrm>
                      <a:off x="0" y="0"/>
                      <a:ext cx="5639435" cy="2911475"/>
                    </a:xfrm>
                    <a:prstGeom prst="rect">
                      <a:avLst/>
                    </a:prstGeom>
                    <a:noFill/>
                    <a:ln>
                      <a:noFill/>
                    </a:ln>
                  </pic:spPr>
                </pic:pic>
              </a:graphicData>
            </a:graphic>
          </wp:inline>
        </w:drawing>
      </w:r>
    </w:p>
    <w:p>
      <w:pPr>
        <w:spacing w:line="360" w:lineRule="auto"/>
        <w:jc w:val="left"/>
        <w:rPr>
          <w:rFonts w:hint="eastAsia" w:ascii="宋体" w:hAnsi="宋体" w:cs="微软雅黑"/>
          <w:color w:val="000000"/>
          <w:sz w:val="24"/>
        </w:rPr>
      </w:pPr>
      <w:r>
        <w:rPr>
          <w:rFonts w:ascii="宋体" w:hAnsi="宋体"/>
          <w:sz w:val="24"/>
        </w:rPr>
        <w:drawing>
          <wp:inline distT="0" distB="0" distL="114300" distR="114300">
            <wp:extent cx="5579745" cy="3361055"/>
            <wp:effectExtent l="0" t="0" r="1905" b="10795"/>
            <wp:docPr id="5" name="图片 5" descr="`R3U[R98E$DVEWGO}NJL%Y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R3U[R98E$DVEWGO}NJL%YU"/>
                    <pic:cNvPicPr>
                      <a:picLocks noChangeAspect="1"/>
                    </pic:cNvPicPr>
                  </pic:nvPicPr>
                  <pic:blipFill>
                    <a:blip r:embed="rId14"/>
                    <a:stretch>
                      <a:fillRect/>
                    </a:stretch>
                  </pic:blipFill>
                  <pic:spPr>
                    <a:xfrm>
                      <a:off x="0" y="0"/>
                      <a:ext cx="5579745" cy="3361055"/>
                    </a:xfrm>
                    <a:prstGeom prst="rect">
                      <a:avLst/>
                    </a:prstGeom>
                    <a:noFill/>
                    <a:ln>
                      <a:noFill/>
                    </a:ln>
                  </pic:spPr>
                </pic:pic>
              </a:graphicData>
            </a:graphic>
          </wp:inline>
        </w:drawing>
      </w:r>
    </w:p>
    <w:p>
      <w:pPr>
        <w:spacing w:line="360" w:lineRule="auto"/>
        <w:jc w:val="left"/>
        <w:rPr>
          <w:rFonts w:hint="eastAsia" w:ascii="宋体" w:hAnsi="宋体"/>
          <w:sz w:val="24"/>
        </w:rPr>
      </w:pPr>
      <w:r>
        <w:rPr>
          <w:rFonts w:ascii="宋体" w:hAnsi="宋体"/>
          <w:sz w:val="24"/>
        </w:rPr>
        <w:drawing>
          <wp:inline distT="0" distB="0" distL="114300" distR="114300">
            <wp:extent cx="5685155" cy="2661920"/>
            <wp:effectExtent l="0" t="0" r="10795" b="5080"/>
            <wp:docPr id="4" name="图片 6" descr="SJH9]X$V6I~]{2A[]WKL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SJH9]X$V6I~]{2A[]WKLT[N"/>
                    <pic:cNvPicPr>
                      <a:picLocks noChangeAspect="1"/>
                    </pic:cNvPicPr>
                  </pic:nvPicPr>
                  <pic:blipFill>
                    <a:blip r:embed="rId15"/>
                    <a:stretch>
                      <a:fillRect/>
                    </a:stretch>
                  </pic:blipFill>
                  <pic:spPr>
                    <a:xfrm>
                      <a:off x="0" y="0"/>
                      <a:ext cx="5685155" cy="2661920"/>
                    </a:xfrm>
                    <a:prstGeom prst="rect">
                      <a:avLst/>
                    </a:prstGeom>
                    <a:noFill/>
                    <a:ln>
                      <a:noFill/>
                    </a:ln>
                  </pic:spPr>
                </pic:pic>
              </a:graphicData>
            </a:graphic>
          </wp:inline>
        </w:drawing>
      </w:r>
    </w:p>
    <w:p>
      <w:pPr>
        <w:spacing w:line="360" w:lineRule="auto"/>
        <w:ind w:firstLine="480" w:firstLineChars="200"/>
        <w:jc w:val="left"/>
        <w:rPr>
          <w:rFonts w:hint="eastAsia" w:ascii="宋体" w:hAnsi="宋体"/>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考点四十八  经典实验记忆</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p>
      <w:pPr>
        <w:spacing w:line="360" w:lineRule="auto"/>
        <w:ind w:firstLine="482" w:firstLineChars="200"/>
        <w:jc w:val="left"/>
        <w:rPr>
          <w:rFonts w:hint="eastAsia" w:ascii="宋体" w:hAnsi="宋体" w:cs="微软雅黑"/>
          <w:color w:val="000000"/>
          <w:sz w:val="24"/>
        </w:rPr>
      </w:pPr>
      <w:r>
        <w:rPr>
          <w:rFonts w:hint="eastAsia" w:ascii="宋体" w:hAnsi="宋体" w:cs="微软雅黑"/>
          <w:b/>
          <w:bCs/>
          <w:color w:val="0070C0"/>
          <w:sz w:val="24"/>
        </w:rPr>
        <w:t>巴普洛夫</w:t>
      </w:r>
      <w:r>
        <w:rPr>
          <w:rFonts w:hint="eastAsia" w:ascii="宋体" w:hAnsi="宋体" w:cs="微软雅黑"/>
          <w:color w:val="000000"/>
          <w:sz w:val="24"/>
        </w:rPr>
        <w:t>的狗——经典条件反射——泛化、分化</w:t>
      </w:r>
    </w:p>
    <w:p>
      <w:pPr>
        <w:spacing w:line="360" w:lineRule="auto"/>
        <w:ind w:firstLine="482" w:firstLineChars="200"/>
        <w:jc w:val="left"/>
        <w:rPr>
          <w:rFonts w:hint="eastAsia" w:ascii="宋体" w:hAnsi="宋体" w:cs="微软雅黑"/>
          <w:color w:val="000000"/>
          <w:sz w:val="24"/>
        </w:rPr>
      </w:pPr>
      <w:r>
        <w:rPr>
          <w:rFonts w:hint="eastAsia" w:ascii="宋体" w:hAnsi="宋体" w:cs="微软雅黑"/>
          <w:b/>
          <w:bCs/>
          <w:color w:val="0070C0"/>
          <w:sz w:val="24"/>
        </w:rPr>
        <w:t>桑代克</w:t>
      </w:r>
      <w:r>
        <w:rPr>
          <w:rFonts w:hint="eastAsia" w:ascii="宋体" w:hAnsi="宋体" w:cs="微软雅黑"/>
          <w:color w:val="000000"/>
          <w:sz w:val="24"/>
        </w:rPr>
        <w:t>的猫——饿猫迷笼实验——试误说</w:t>
      </w:r>
    </w:p>
    <w:p>
      <w:pPr>
        <w:spacing w:line="360" w:lineRule="auto"/>
        <w:ind w:firstLine="482" w:firstLineChars="200"/>
        <w:jc w:val="left"/>
        <w:rPr>
          <w:rFonts w:hint="eastAsia" w:ascii="宋体" w:hAnsi="宋体" w:cs="微软雅黑"/>
          <w:color w:val="000000"/>
          <w:sz w:val="24"/>
        </w:rPr>
      </w:pPr>
      <w:r>
        <w:rPr>
          <w:rFonts w:hint="eastAsia" w:ascii="宋体" w:hAnsi="宋体" w:cs="微软雅黑"/>
          <w:b/>
          <w:bCs/>
          <w:color w:val="0070C0"/>
          <w:sz w:val="24"/>
        </w:rPr>
        <w:t>斯金纳</w:t>
      </w:r>
      <w:r>
        <w:rPr>
          <w:rFonts w:hint="eastAsia" w:ascii="宋体" w:hAnsi="宋体" w:cs="微软雅黑"/>
          <w:color w:val="000000"/>
          <w:sz w:val="24"/>
        </w:rPr>
        <w:t>的老鼠——小白鼠操杠杆——强化</w:t>
      </w:r>
    </w:p>
    <w:p>
      <w:pPr>
        <w:spacing w:line="360" w:lineRule="auto"/>
        <w:ind w:firstLine="482" w:firstLineChars="200"/>
        <w:jc w:val="left"/>
        <w:rPr>
          <w:rFonts w:hint="eastAsia" w:ascii="宋体" w:hAnsi="宋体" w:cs="微软雅黑"/>
          <w:color w:val="000000"/>
          <w:sz w:val="24"/>
        </w:rPr>
      </w:pPr>
      <w:r>
        <w:rPr>
          <w:rFonts w:hint="eastAsia" w:ascii="宋体" w:hAnsi="宋体" w:cs="微软雅黑"/>
          <w:b/>
          <w:bCs/>
          <w:color w:val="0070C0"/>
          <w:sz w:val="24"/>
        </w:rPr>
        <w:t>班杜拉</w:t>
      </w:r>
      <w:r>
        <w:rPr>
          <w:rFonts w:hint="eastAsia" w:ascii="宋体" w:hAnsi="宋体" w:cs="微软雅黑"/>
          <w:color w:val="000000"/>
          <w:sz w:val="24"/>
        </w:rPr>
        <w:t>的宝宝——儿童习得暴力行为实验——直接强化、替代强化、自我强化</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考点四十九  情绪</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种类</w:t>
            </w:r>
          </w:p>
        </w:tc>
        <w:tc>
          <w:tcPr>
            <w:tcW w:w="2130" w:type="dxa"/>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70C0"/>
                <w:sz w:val="24"/>
              </w:rPr>
              <w:t>心境</w:t>
            </w:r>
          </w:p>
        </w:tc>
        <w:tc>
          <w:tcPr>
            <w:tcW w:w="2131" w:type="dxa"/>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70C0"/>
                <w:sz w:val="24"/>
              </w:rPr>
              <w:t>激情</w:t>
            </w:r>
          </w:p>
        </w:tc>
        <w:tc>
          <w:tcPr>
            <w:tcW w:w="2131" w:type="dxa"/>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70C0"/>
                <w:sz w:val="24"/>
              </w:rPr>
              <w:t>应激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表现</w:t>
            </w:r>
          </w:p>
        </w:tc>
        <w:tc>
          <w:tcPr>
            <w:tcW w:w="2130"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心境是指人比较平静而持久的情绪状态，它具有弥漫性。</w:t>
            </w:r>
          </w:p>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color w:val="000000"/>
                <w:sz w:val="24"/>
              </w:rPr>
              <w:t>例：感时花溅泪，恨别鸟惊心</w:t>
            </w:r>
          </w:p>
        </w:tc>
        <w:tc>
          <w:tcPr>
            <w:tcW w:w="2131"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激情是一种强烈的、爆发性的、为时短促的情绪状态。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例：赢球的狂欢</w:t>
            </w:r>
          </w:p>
          <w:p>
            <w:pPr>
              <w:spacing w:line="360" w:lineRule="auto"/>
              <w:ind w:firstLine="482" w:firstLineChars="200"/>
              <w:jc w:val="left"/>
              <w:rPr>
                <w:rFonts w:hint="eastAsia" w:ascii="宋体" w:hAnsi="宋体" w:cs="微软雅黑"/>
                <w:b/>
                <w:bCs/>
                <w:color w:val="FF0000"/>
                <w:sz w:val="24"/>
              </w:rPr>
            </w:pPr>
          </w:p>
        </w:tc>
        <w:tc>
          <w:tcPr>
            <w:tcW w:w="2131" w:type="dxa"/>
            <w:shd w:val="clear" w:color="auto" w:fill="auto"/>
            <w:noWrap w:val="0"/>
            <w:vAlign w:val="center"/>
          </w:tcPr>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应激是出现意外情况时，所引起的急速而高度紧张的情绪状态。</w:t>
            </w:r>
          </w:p>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color w:val="000000"/>
                <w:sz w:val="24"/>
              </w:rPr>
              <w:t>例：急中生智</w:t>
            </w:r>
          </w:p>
        </w:tc>
      </w:tr>
    </w:tbl>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情绪ABC理论</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情绪ABC理论是由美国心理学家埃利斯创建的。</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A（刺激事件）—B（错误认知和评价产生的错误信念）——C（情绪和行为障碍）</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情绪情感的调节方法</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1、转换认知角度——换一个角度</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2、自我暗示——内部语言</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3、调节期望值——学会知足</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4、适当宣泄——合理的宣泄</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5、转移注意力——一事物转移到另一事物</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6、升华——正确的方向</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  人格</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简答</w:t>
      </w:r>
    </w:p>
    <w:p>
      <w:pPr>
        <w:numPr>
          <w:ilvl w:val="0"/>
          <w:numId w:val="7"/>
        </w:num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人格的特征</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（1）独特性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“人心不同，各如其面”</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（2）稳定性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“江山易改，本性难移”</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（3）统合性（整体性）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人格是由多种成分构成的统一整体，具有内在一致性。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（4）功能性</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一蹶不振、东山再起</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2、性格的特征</w:t>
      </w:r>
    </w:p>
    <w:p>
      <w:pPr>
        <w:spacing w:line="360" w:lineRule="auto"/>
        <w:ind w:firstLine="482" w:firstLineChars="200"/>
        <w:jc w:val="left"/>
        <w:rPr>
          <w:rFonts w:hint="eastAsia" w:ascii="宋体" w:hAnsi="宋体" w:cs="微软雅黑"/>
          <w:color w:val="000000"/>
          <w:sz w:val="24"/>
        </w:rPr>
      </w:pPr>
      <w:r>
        <w:rPr>
          <w:rFonts w:hint="eastAsia" w:ascii="宋体" w:hAnsi="宋体" w:cs="微软雅黑"/>
          <w:b/>
          <w:bCs/>
          <w:color w:val="0070C0"/>
          <w:sz w:val="24"/>
        </w:rPr>
        <w:t xml:space="preserve"> </w:t>
      </w:r>
      <w:r>
        <w:rPr>
          <w:rFonts w:hint="eastAsia" w:ascii="宋体" w:hAnsi="宋体" w:cs="微软雅黑"/>
          <w:color w:val="000000"/>
          <w:sz w:val="24"/>
        </w:rPr>
        <w:t>(1)性格的态度特征——个体在对现实生活各个方面的态度中表现出来的一般特征。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(2)性格的认知特征——个体在认知活动中表现出来的感知、记忆、思维心理特征。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(3)性格的情绪特征个体在情绪表现方面的强度、稳定性、持久性、主导心境心理特征。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 xml:space="preserve"> (4)性格的意志特征——个体在调节自己的心理活动时表现出的自觉性、坚定性、果断性自制力的心理特征。</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3、人格类型理论</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罗马医生盖伦根据体液说提出。</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①胆汁质——情绪体验强烈，思维灵活，但做事常欠考虑，鲁莽冒失</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人物代表：张飞、李逵</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②多血质——情感丰富，思维敏捷，善于交往，适应力强但缺乏耐心和毅力，稳定性差。</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人民代表：王熙凤、孙悟空</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③黏液质——情绪平稳，沉默寡言，考虑问题细致而周到，但主动性较差，缺乏生气，行动迟缓</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代表人物：林冲</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④抑郁质——情绪体验深刻，多愁善感，但举止缓慢，软弱胆小，优柔寡断。</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代表人物：林黛玉</w:t>
      </w:r>
    </w:p>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考点五十一  埃里克森的社会性发展阶段理论</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1．信任感对不信任感（0～1.5岁）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2．自主感对羞耻感、怀疑感（2～3岁）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3．主动感对内疚感（4～5岁）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4．勤奋感对自卑感（6~11岁）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5．自我同一性对角色混乱（12~18岁）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6．亲密感对孤独感（20～25 ）</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7．繁殖感对停滞感（25～50 ）</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8．自我整合感对绝望感（50岁以后）</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考点五十二  认知方式差异</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 辨析</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场依存型——外部信息为参照依据，容易受周围人们的影响与干扰。</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场独立型——利用自己的内部参照，不易受外部因素的影响。</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沉思型—学习好—反应慢—准确率高</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冲动型—学习差—反应快—准确率低</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辐合型——聚合思维特征，运用逻辑规律，缩小解答范围，直至找到唯一正确的解答。</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发散型——发散思维特征，表现为个人的思维沿着不同的方向拓展，最终产生多个答案。</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考点五十三  柯尔伯格的道德发展阶段论</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655"/>
        <w:gridCol w:w="3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三阶段</w:t>
            </w:r>
          </w:p>
        </w:tc>
        <w:tc>
          <w:tcPr>
            <w:tcW w:w="2655" w:type="dxa"/>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六水平</w:t>
            </w:r>
          </w:p>
        </w:tc>
        <w:tc>
          <w:tcPr>
            <w:tcW w:w="3757" w:type="dxa"/>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vMerge w:val="restart"/>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前习俗水平</w:t>
            </w:r>
          </w:p>
        </w:tc>
        <w:tc>
          <w:tcPr>
            <w:tcW w:w="2655"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惩罚服从取向阶段</w:t>
            </w:r>
          </w:p>
        </w:tc>
        <w:tc>
          <w:tcPr>
            <w:tcW w:w="3757"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是否获得惩罚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vMerge w:val="continue"/>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p>
        </w:tc>
        <w:tc>
          <w:tcPr>
            <w:tcW w:w="2655"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相对功利取向阶段</w:t>
            </w:r>
          </w:p>
        </w:tc>
        <w:tc>
          <w:tcPr>
            <w:tcW w:w="3757"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是否利己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vMerge w:val="restart"/>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习俗水平</w:t>
            </w:r>
          </w:p>
        </w:tc>
        <w:tc>
          <w:tcPr>
            <w:tcW w:w="2655"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寻求认可取向阶段</w:t>
            </w:r>
          </w:p>
        </w:tc>
        <w:tc>
          <w:tcPr>
            <w:tcW w:w="3757"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关注他人认可与否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vMerge w:val="continue"/>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p>
        </w:tc>
        <w:tc>
          <w:tcPr>
            <w:tcW w:w="2655"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遵守法规取向阶段</w:t>
            </w:r>
          </w:p>
        </w:tc>
        <w:tc>
          <w:tcPr>
            <w:tcW w:w="3757"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遵守法律、社会习俗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vMerge w:val="restart"/>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后习俗水平</w:t>
            </w:r>
          </w:p>
        </w:tc>
        <w:tc>
          <w:tcPr>
            <w:tcW w:w="2655"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社会契约取向阶段</w:t>
            </w:r>
          </w:p>
        </w:tc>
        <w:tc>
          <w:tcPr>
            <w:tcW w:w="3757"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讲法律看作可以修改的契约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0" w:type="dxa"/>
            <w:vMerge w:val="continue"/>
            <w:shd w:val="clear" w:color="auto" w:fill="auto"/>
            <w:noWrap w:val="0"/>
            <w:vAlign w:val="center"/>
          </w:tcPr>
          <w:p>
            <w:pPr>
              <w:spacing w:line="360" w:lineRule="auto"/>
              <w:ind w:firstLine="482" w:firstLineChars="200"/>
              <w:jc w:val="left"/>
              <w:rPr>
                <w:rFonts w:hint="eastAsia" w:ascii="宋体" w:hAnsi="宋体" w:cs="微软雅黑"/>
                <w:b/>
                <w:bCs/>
                <w:color w:val="FF0000"/>
                <w:sz w:val="24"/>
              </w:rPr>
            </w:pPr>
          </w:p>
        </w:tc>
        <w:tc>
          <w:tcPr>
            <w:tcW w:w="2655"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普遍伦理取向阶段</w:t>
            </w:r>
          </w:p>
        </w:tc>
        <w:tc>
          <w:tcPr>
            <w:tcW w:w="3757" w:type="dxa"/>
            <w:shd w:val="clear" w:color="auto" w:fill="auto"/>
            <w:noWrap w:val="0"/>
            <w:vAlign w:val="center"/>
          </w:tcPr>
          <w:p>
            <w:pPr>
              <w:spacing w:line="360" w:lineRule="auto"/>
              <w:ind w:firstLine="480" w:firstLineChars="200"/>
              <w:jc w:val="left"/>
              <w:rPr>
                <w:rFonts w:hint="eastAsia" w:ascii="宋体" w:hAnsi="宋体" w:cs="微软雅黑"/>
                <w:b/>
                <w:bCs/>
                <w:color w:val="FF0000"/>
                <w:sz w:val="24"/>
              </w:rPr>
            </w:pPr>
            <w:r>
              <w:rPr>
                <w:rFonts w:hint="eastAsia" w:ascii="宋体" w:hAnsi="宋体" w:cs="微软雅黑"/>
                <w:sz w:val="24"/>
              </w:rPr>
              <w:t>追求完美，很少人达到</w:t>
            </w:r>
          </w:p>
        </w:tc>
      </w:tr>
    </w:tbl>
    <w:p>
      <w:pPr>
        <w:spacing w:line="360" w:lineRule="auto"/>
        <w:jc w:val="left"/>
        <w:rPr>
          <w:rFonts w:hint="eastAsia" w:ascii="宋体" w:hAnsi="宋体" w:cs="微软雅黑"/>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考点五十四  焦虑症和强迫症</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简答 材料</w:t>
      </w:r>
    </w:p>
    <w:p>
      <w:p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（一）焦虑症</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1、焦虑是由紧张、不安、焦急、忧虑、恐惧交织而成的一种情绪状态。</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2、考试焦虑的原因</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（1）过度的压力；（2）父母的高期望；（3）学生自身争强好胜；</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（4）学业多次失败体验；（5）易发焦虑的人格基础。</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3、考试焦虑的治疗</w:t>
      </w:r>
    </w:p>
    <w:p>
      <w:pPr>
        <w:spacing w:line="360" w:lineRule="auto"/>
        <w:ind w:firstLine="480" w:firstLineChars="200"/>
        <w:jc w:val="left"/>
        <w:rPr>
          <w:rFonts w:hint="eastAsia" w:ascii="宋体" w:hAnsi="宋体" w:cs="微软雅黑"/>
          <w:sz w:val="24"/>
        </w:rPr>
      </w:pPr>
      <w:r>
        <w:rPr>
          <w:rFonts w:hint="eastAsia" w:ascii="宋体" w:hAnsi="宋体" w:cs="微软雅黑"/>
          <w:sz w:val="24"/>
        </w:rPr>
        <w:t>肌肉放松、系统脱敏法、正确的自我对话</w:t>
      </w:r>
    </w:p>
    <w:p>
      <w:pPr>
        <w:numPr>
          <w:ilvl w:val="0"/>
          <w:numId w:val="8"/>
        </w:numPr>
        <w:spacing w:line="360" w:lineRule="auto"/>
        <w:ind w:firstLine="482" w:firstLineChars="200"/>
        <w:jc w:val="left"/>
        <w:rPr>
          <w:rFonts w:hint="eastAsia" w:ascii="宋体" w:hAnsi="宋体" w:cs="微软雅黑"/>
          <w:b/>
          <w:bCs/>
          <w:color w:val="0070C0"/>
          <w:sz w:val="24"/>
        </w:rPr>
      </w:pPr>
      <w:r>
        <w:rPr>
          <w:rFonts w:hint="eastAsia" w:ascii="宋体" w:hAnsi="宋体" w:cs="微软雅黑"/>
          <w:b/>
          <w:bCs/>
          <w:color w:val="0070C0"/>
          <w:sz w:val="24"/>
        </w:rPr>
        <w:t>强迫症</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1、强迫观念：身不由己的思考</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2、强迫行为：反复去做自己不希望做的事</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考点五十五 品德学习的阶段</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1、依从（口服心不服）</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该行为具有盲目性、被动性、不稳定、随情境的变化而变化的特点。</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2、认同（口服心服）</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该行为具有一定自觉性、主动性和稳定性。</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3、内化（彻底服了）</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该行为将自己所认同的思想和自己原有的观点、信念融为一体，构成一个完整的价值体系。</w:t>
      </w:r>
    </w:p>
    <w:p>
      <w:pPr>
        <w:spacing w:line="360" w:lineRule="auto"/>
        <w:ind w:firstLine="482" w:firstLineChars="200"/>
        <w:jc w:val="left"/>
        <w:rPr>
          <w:rFonts w:hint="eastAsia" w:ascii="宋体" w:hAnsi="宋体" w:cs="微软雅黑"/>
          <w:b/>
          <w:bCs/>
          <w:color w:val="FF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考点五十六  德育过程的基本规律</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简答 材料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1、德育过程是具有多种开端的对学生知、情、意、行的培养提高过程</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2、德育过程是组织学生的活动和交往，对学生多方面教育影响的过程——基础和源泉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3、德育过程是促使学生思想内部矛盾运动的过程——教育和自我教育</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4、德育过程是一个长期的、反复的、不断前进的过程</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 xml:space="preserve">考点五十七  德育原则  </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辨析 简答 材料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1、导向性原则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2、疏导原则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3、尊重学生与严格要求学生相结合原则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4、教育的一致性与连贯性原则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5、因材施教原则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6、发扬积极因素、克服消极因素原则</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考点五十八  我国中学德育的方法</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材料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1、说服教育法——摆事实、讲道理——基本方法</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2、榜样示范法——树立榜样</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3、实际锻炼法——实际活动</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4、陶冶锻炼法——创设情境</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5、品德评价法——对学生品德进行肯定或否定的评价</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6、个人修养法——以学生自我修养为核心</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考点五十九  班集体的基本特征</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 xml:space="preserve">题型涉及：单选 简答 </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1、明确的共同目标——关键环节</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2、一定的组织结构</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3、一定的共同生活的准则</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4、集体成员之间平等、心理相容的氛围</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考点六十  班集体的形成与培养</w:t>
      </w: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000000"/>
          <w:sz w:val="24"/>
        </w:rPr>
        <w:t>题型涉及：单选 简答</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1、确定班集体的发展目标（动力）</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2、建立班集体的核心队伍</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3、建立班集体的正常秩序（重要保证）</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4、组织形式多样的教育活动</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5、培养正确的舆论和良好的班风（标志）</w:t>
      </w:r>
    </w:p>
    <w:p>
      <w:pPr>
        <w:spacing w:line="360" w:lineRule="auto"/>
        <w:ind w:firstLine="480" w:firstLineChars="200"/>
        <w:jc w:val="left"/>
        <w:rPr>
          <w:rFonts w:hint="eastAsia" w:ascii="宋体" w:hAnsi="宋体" w:cs="微软雅黑"/>
          <w:color w:val="000000"/>
          <w:sz w:val="24"/>
        </w:rPr>
      </w:pPr>
    </w:p>
    <w:p>
      <w:pPr>
        <w:spacing w:line="360" w:lineRule="auto"/>
        <w:ind w:firstLine="482" w:firstLineChars="200"/>
        <w:jc w:val="left"/>
        <w:rPr>
          <w:rFonts w:hint="eastAsia" w:ascii="宋体" w:hAnsi="宋体" w:cs="微软雅黑"/>
          <w:b/>
          <w:bCs/>
          <w:color w:val="FF0000"/>
          <w:sz w:val="24"/>
        </w:rPr>
      </w:pPr>
      <w:r>
        <w:rPr>
          <w:rFonts w:hint="eastAsia" w:ascii="宋体" w:hAnsi="宋体" w:cs="微软雅黑"/>
          <w:b/>
          <w:bCs/>
          <w:color w:val="FF0000"/>
          <w:sz w:val="24"/>
        </w:rPr>
        <w:t>考点六十一  课堂纪律的类型</w:t>
      </w:r>
    </w:p>
    <w:p>
      <w:pPr>
        <w:spacing w:line="360" w:lineRule="auto"/>
        <w:ind w:firstLine="482" w:firstLineChars="200"/>
        <w:jc w:val="left"/>
        <w:rPr>
          <w:rFonts w:hint="eastAsia" w:ascii="宋体" w:hAnsi="宋体" w:cs="微软雅黑"/>
          <w:b/>
          <w:bCs/>
          <w:color w:val="000000"/>
          <w:sz w:val="24"/>
        </w:rPr>
      </w:pPr>
      <w:r>
        <w:rPr>
          <w:rFonts w:hint="eastAsia" w:ascii="宋体" w:hAnsi="宋体" w:cs="微软雅黑"/>
          <w:b/>
          <w:bCs/>
          <w:color w:val="000000"/>
          <w:sz w:val="24"/>
        </w:rPr>
        <w:t>题型涉及：单选</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1、教师促成的纪律（不可缺少的）</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2、集体促成的纪律</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3、任务促成的纪律（重要地位）</w:t>
      </w:r>
    </w:p>
    <w:p>
      <w:pPr>
        <w:spacing w:line="360" w:lineRule="auto"/>
        <w:ind w:firstLine="480" w:firstLineChars="200"/>
        <w:jc w:val="left"/>
        <w:rPr>
          <w:rFonts w:hint="eastAsia" w:ascii="宋体" w:hAnsi="宋体" w:cs="微软雅黑"/>
          <w:color w:val="000000"/>
          <w:sz w:val="24"/>
        </w:rPr>
      </w:pPr>
      <w:r>
        <w:rPr>
          <w:rFonts w:hint="eastAsia" w:ascii="宋体" w:hAnsi="宋体" w:cs="微软雅黑"/>
          <w:color w:val="000000"/>
          <w:sz w:val="24"/>
        </w:rPr>
        <w:t>4、自我促成的纪律（标志、最终目的）</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499235"/>
          <wp:effectExtent l="1377950" t="0" r="1275715" b="0"/>
          <wp:wrapNone/>
          <wp:docPr id="3" name="WordPictureWatermark11914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119147" descr="5"/>
                  <pic:cNvPicPr>
                    <a:picLocks noChangeAspect="1"/>
                  </pic:cNvPicPr>
                </pic:nvPicPr>
                <pic:blipFill>
                  <a:blip r:embed="rId1">
                    <a:lum bright="69998" contrast="-70001"/>
                  </a:blip>
                  <a:stretch>
                    <a:fillRect/>
                  </a:stretch>
                </pic:blipFill>
                <pic:spPr>
                  <a:xfrm rot="-2700000">
                    <a:off x="0" y="0"/>
                    <a:ext cx="5274310" cy="14992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062D"/>
    <w:multiLevelType w:val="singleLevel"/>
    <w:tmpl w:val="594D062D"/>
    <w:lvl w:ilvl="0" w:tentative="0">
      <w:start w:val="1"/>
      <w:numFmt w:val="decimal"/>
      <w:suff w:val="nothing"/>
      <w:lvlText w:val="%1、"/>
      <w:lvlJc w:val="left"/>
    </w:lvl>
  </w:abstractNum>
  <w:abstractNum w:abstractNumId="1">
    <w:nsid w:val="594F8227"/>
    <w:multiLevelType w:val="singleLevel"/>
    <w:tmpl w:val="594F8227"/>
    <w:lvl w:ilvl="0" w:tentative="0">
      <w:start w:val="2"/>
      <w:numFmt w:val="decimal"/>
      <w:suff w:val="nothing"/>
      <w:lvlText w:val="%1、"/>
      <w:lvlJc w:val="left"/>
    </w:lvl>
  </w:abstractNum>
  <w:abstractNum w:abstractNumId="2">
    <w:nsid w:val="594F9025"/>
    <w:multiLevelType w:val="singleLevel"/>
    <w:tmpl w:val="594F9025"/>
    <w:lvl w:ilvl="0" w:tentative="0">
      <w:start w:val="1"/>
      <w:numFmt w:val="decimal"/>
      <w:suff w:val="nothing"/>
      <w:lvlText w:val="%1、"/>
      <w:lvlJc w:val="left"/>
    </w:lvl>
  </w:abstractNum>
  <w:abstractNum w:abstractNumId="3">
    <w:nsid w:val="594F9037"/>
    <w:multiLevelType w:val="singleLevel"/>
    <w:tmpl w:val="594F9037"/>
    <w:lvl w:ilvl="0" w:tentative="0">
      <w:start w:val="1"/>
      <w:numFmt w:val="decimal"/>
      <w:suff w:val="nothing"/>
      <w:lvlText w:val="%1、"/>
      <w:lvlJc w:val="left"/>
    </w:lvl>
  </w:abstractNum>
  <w:abstractNum w:abstractNumId="4">
    <w:nsid w:val="594F9061"/>
    <w:multiLevelType w:val="singleLevel"/>
    <w:tmpl w:val="594F9061"/>
    <w:lvl w:ilvl="0" w:tentative="0">
      <w:start w:val="1"/>
      <w:numFmt w:val="decimal"/>
      <w:suff w:val="nothing"/>
      <w:lvlText w:val="%1、"/>
      <w:lvlJc w:val="left"/>
    </w:lvl>
  </w:abstractNum>
  <w:abstractNum w:abstractNumId="5">
    <w:nsid w:val="594F9782"/>
    <w:multiLevelType w:val="singleLevel"/>
    <w:tmpl w:val="594F9782"/>
    <w:lvl w:ilvl="0" w:tentative="0">
      <w:start w:val="4"/>
      <w:numFmt w:val="decimal"/>
      <w:suff w:val="space"/>
      <w:lvlText w:val="%1、"/>
      <w:lvlJc w:val="left"/>
    </w:lvl>
  </w:abstractNum>
  <w:abstractNum w:abstractNumId="6">
    <w:nsid w:val="594F9D91"/>
    <w:multiLevelType w:val="singleLevel"/>
    <w:tmpl w:val="594F9D91"/>
    <w:lvl w:ilvl="0" w:tentative="0">
      <w:start w:val="1"/>
      <w:numFmt w:val="decimal"/>
      <w:suff w:val="nothing"/>
      <w:lvlText w:val="%1、"/>
      <w:lvlJc w:val="left"/>
    </w:lvl>
  </w:abstractNum>
  <w:abstractNum w:abstractNumId="7">
    <w:nsid w:val="594FA1F1"/>
    <w:multiLevelType w:val="singleLevel"/>
    <w:tmpl w:val="594FA1F1"/>
    <w:lvl w:ilvl="0" w:tentative="0">
      <w:start w:val="2"/>
      <w:numFmt w:val="chineseCounting"/>
      <w:suff w:val="nothing"/>
      <w:lvlText w:val="（%1）"/>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220B4"/>
    <w:rsid w:val="101001AE"/>
    <w:rsid w:val="247220B4"/>
    <w:rsid w:val="3EB93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微软雅黑"/>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2.xml"/><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diagramColors" Target="diagrams/colors2.xml"/><Relationship Id="rId11" Type="http://schemas.openxmlformats.org/officeDocument/2006/relationships/diagramQuickStyle" Target="diagrams/quickStyle2.xml"/><Relationship Id="rId10" Type="http://schemas.openxmlformats.org/officeDocument/2006/relationships/diagramLayout" Target="diagrams/layout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align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align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align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0">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2">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3">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4">
    <dgm:fillClrLst meth="repeat">
      <a:srgbClr val="FFFFFF"/>
    </dgm:fillClrLst>
    <dgm:linClrLst meth="repeat">
      <a:srgbClr val="000000">
        <a:shade val="80000"/>
      </a:srgbClr>
    </dgm:linClrLst>
    <dgm:effectClrLst/>
    <dgm:txLinClrLst/>
    <dgm:txFillClrLst meth="repeat">
      <a:srgbClr val="000000"/>
    </dgm:txFillClrLst>
    <dgm:txEffectClrLst/>
  </dgm:styleLbl>
  <dgm:styleLbl name="b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bg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bg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bgShp">
    <dgm:fillClrLst meth="repeat">
      <a:srgbClr val="CBCBCB">
        <a:tint val="40000"/>
      </a:srgbClr>
    </dgm:fillClrLst>
    <dgm:linClrLst meth="repeat">
      <a:srgbClr val="000000"/>
    </dgm:linClrLst>
    <dgm:effectClrLst/>
    <dgm:txLinClrLst/>
    <dgm:txFillClrLst meth="repeat">
      <a:srgbClr val="000000"/>
    </dgm:txFillClrLst>
    <dgm:txEffectClrLst/>
  </dgm:styleLbl>
  <dgm:styleLbl name="bg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callout">
    <dgm:fillClrLst meth="repeat">
      <a:srgbClr val="000000"/>
    </dgm:fillClrLst>
    <dgm:linClrLst meth="repeat">
      <a:srgbClr val="000000"/>
    </dgm:linClrLst>
    <dgm:effectClrLst/>
    <dgm:txLinClrLst/>
    <dgm:txFillClrLst meth="repeat">
      <a:srgbClr val="000000"/>
    </dgm:txFillClrLst>
    <dgm:txEffectClrLst/>
  </dgm:styleLbl>
  <dgm:styleLbl name="conF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dkBgShp">
    <dgm:fillClrLst meth="repeat">
      <a:srgbClr val="000000">
        <a:shade val="80000"/>
      </a:srgbClr>
    </dgm:fillClrLst>
    <dgm:linClrLst meth="repeat">
      <a:srgbClr val="000000"/>
    </dgm:linClrLst>
    <dgm:effectClrLst/>
    <dgm:txLinClrLst/>
    <dgm:txFillClrLst meth="repeat">
      <a:srgbClr val="FFFFFF"/>
    </dgm:txFillClrLst>
    <dgm:txEffectClrLst/>
  </dgm:styleLbl>
  <dgm:styleLbl name="fgAcc0">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2">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3">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4">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fg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fgShp">
    <dgm:fillClrLst meth="repeat">
      <a:srgbClr val="AAAAAA">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ln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0">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2">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3">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4">
    <dgm:fillClrLst meth="repeat">
      <a:srgbClr val="FFFFFF"/>
    </dgm:fillClrLst>
    <dgm:linClrLst meth="repeat">
      <a:srgbClr val="000000">
        <a:shade val="80000"/>
      </a:srgbClr>
    </dgm:linClrLst>
    <dgm:effectClrLst/>
    <dgm:txLinClrLst/>
    <dgm:txFillClrLst meth="repeat">
      <a:srgbClr val="000000"/>
    </dgm:txFillClrLst>
    <dgm:txEffectClrLst/>
  </dgm:styleLbl>
  <dgm:styleLbl name="parChTrans1D1">
    <dgm:fillClrLst meth="repeat">
      <a:srgbClr val="000000"/>
    </dgm:fillClrLst>
    <dgm:linClrLst meth="repeat">
      <a:srgbClr val="000000">
        <a:shade val="60000"/>
      </a:srgbClr>
    </dgm:linClrLst>
    <dgm:effectClrLst/>
    <dgm:txLinClrLst/>
    <dgm:txFillClrLst meth="repeat">
      <a:srgbClr val="000000"/>
    </dgm:txFillClrLst>
    <dgm:txEffectClrLst/>
  </dgm:styleLbl>
  <dgm:styleLbl name="parChTrans1D2">
    <dgm:fillClrLst meth="repeat">
      <a:srgbClr val="000000"/>
    </dgm:fillClrLst>
    <dgm:linClrLst meth="repeat">
      <a:srgbClr val="000000">
        <a:shade val="60000"/>
      </a:srgbClr>
    </dgm:linClrLst>
    <dgm:effectClrLst/>
    <dgm:txLinClrLst/>
    <dgm:txFillClrLst meth="repeat">
      <a:srgbClr val="000000"/>
    </dgm:txFillClrLst>
    <dgm:txEffectClrLst/>
  </dgm:styleLbl>
  <dgm:styleLbl name="parChTrans1D3">
    <dgm:fillClrLst meth="repeat">
      <a:srgbClr val="000000"/>
    </dgm:fillClrLst>
    <dgm:linClrLst meth="repeat">
      <a:srgbClr val="000000">
        <a:shade val="80000"/>
      </a:srgbClr>
    </dgm:linClrLst>
    <dgm:effectClrLst/>
    <dgm:txLinClrLst/>
    <dgm:txFillClrLst meth="repeat">
      <a:srgbClr val="000000"/>
    </dgm:txFillClrLst>
    <dgm:txEffectClrLst/>
  </dgm:styleLbl>
  <dgm:styleLbl name="parChTrans1D4">
    <dgm:fillClrLst meth="repeat">
      <a:srgbClr val="000000"/>
    </dgm:fillClrLst>
    <dgm:linClrLst meth="repeat">
      <a:srgbClr val="000000">
        <a:shade val="80000"/>
      </a:srgbClr>
    </dgm:linClrLst>
    <dgm:effectClrLst/>
    <dgm:txLinClrLst/>
    <dgm:txFillClrLst meth="repeat">
      <a:srgbClr val="000000"/>
    </dgm:txFillClrLst>
    <dgm:txEffectClrLst/>
  </dgm:styleLbl>
  <dgm:styleLbl name="parChTrans2D1">
    <dgm:fillClrLst meth="repeat">
      <a:srgbClr val="AAAAAA">
        <a:tint val="60000"/>
      </a:srgbClr>
    </dgm:fillClrLst>
    <dgm:linClrLst meth="repeat">
      <a:srgbClr val="AAAAAA">
        <a:tint val="60000"/>
      </a:srgbClr>
    </dgm:linClrLst>
    <dgm:effectClrLst/>
    <dgm:txLinClrLst/>
    <dgm:txFillClrLst/>
    <dgm:txEffectClrLst/>
  </dgm:styleLbl>
  <dgm:styleLbl name="parChTrans2D2">
    <dgm:fillClrLst meth="repeat">
      <a:srgbClr val="000000"/>
    </dgm:fillClrLst>
    <dgm:linClrLst meth="repeat">
      <a:srgbClr val="000000"/>
    </dgm:linClrLst>
    <dgm:effectClrLst/>
    <dgm:txLinClrLst/>
    <dgm:txFillClrLst/>
    <dgm:txEffectClrLst/>
  </dgm:styleLbl>
  <dgm:styleLbl name="parChTrans2D3">
    <dgm:fillClrLst meth="repeat">
      <a:srgbClr val="000000"/>
    </dgm:fillClrLst>
    <dgm:linClrLst meth="repeat">
      <a:srgbClr val="000000"/>
    </dgm:linClrLst>
    <dgm:effectClrLst/>
    <dgm:txLinClrLst/>
    <dgm:txFillClrLst/>
    <dgm:txEffectClrLst/>
  </dgm:styleLbl>
  <dgm:styleLbl name="parChTrans2D4">
    <dgm:fillClrLst meth="repeat">
      <a:srgbClr val="000000"/>
    </dgm:fillClrLst>
    <dgm:linClrLst meth="repeat">
      <a:srgbClr val="000000"/>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000000"/>
    </dgm:fillClrLst>
    <dgm:linClrLst meth="repeat">
      <a:srgbClr val="000000"/>
    </dgm:linClrLst>
    <dgm:effectClrLst/>
    <dgm:txLinClrLst/>
    <dgm:txFillClrLst meth="repeat">
      <a:srgbClr val="000000"/>
    </dgm:txFillClrLst>
    <dgm:txEffectClrLst/>
  </dgm:styleLbl>
  <dgm:styleLbl name="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solidAlignAcc1">
    <dgm:fillClrLst meth="repeat">
      <a:srgbClr val="FFFFFF"/>
    </dgm:fillClrLst>
    <dgm:linClrLst meth="repeat">
      <a:srgbClr val="000000"/>
    </dgm:linClrLst>
    <dgm:effectClrLst/>
    <dgm:txLinClrLst/>
    <dgm:txFillClrLst meth="repeat">
      <a:srgbClr val="000000"/>
    </dgm:txFillClrLst>
    <dgm:txEffectClrLst/>
  </dgm:styleLbl>
  <dgm:styleLbl name="solidBgAcc1">
    <dgm:fillClrLst meth="repeat">
      <a:srgbClr val="FFFFFF"/>
    </dgm:fillClrLst>
    <dgm:linClrLst meth="repeat">
      <a:srgbClr val="000000"/>
    </dgm:linClrLst>
    <dgm:effectClrLst/>
    <dgm:txLinClrLst/>
    <dgm:txFillClrLst meth="repeat">
      <a:srgbClr val="000000"/>
    </dgm:txFillClrLst>
    <dgm:txEffectClrLst/>
  </dgm:styleLbl>
  <dgm:styleLbl name="solidFgAcc1">
    <dgm:fillClrLst meth="repeat">
      <a:srgbClr val="FFFFFF"/>
    </dgm:fillClrLst>
    <dgm:linClrLst meth="repeat">
      <a:srgbClr val="000000"/>
    </dgm:linClrLst>
    <dgm:effectClrLst/>
    <dgm:txLinClrLst/>
    <dgm:txFillClrLst meth="repeat">
      <a:srgbClr val="000000"/>
    </dgm:txFillClrLst>
    <dgm:txEffectClrLst/>
  </dgm:styleLbl>
  <dgm:styleLbl name="trAlignAcc1">
    <dgm:fillClrLst meth="repeat">
      <a:srgbClr val="CBCBCB">
        <a:alpha val="40000"/>
        <a:tint val="40000"/>
      </a:srgbClr>
    </dgm:fillClrLst>
    <dgm:linClrLst meth="repeat">
      <a:srgbClr val="000000"/>
    </dgm:linClrLst>
    <dgm:effectClrLst/>
    <dgm:txLinClrLst/>
    <dgm:txFillClrLst meth="repeat">
      <a:srgbClr val="000000"/>
    </dgm:txFillClrLst>
    <dgm:txEffectClrLst/>
  </dgm:styleLbl>
  <dgm:styleLbl name="trBgShp">
    <dgm:fillClrLst meth="repeat">
      <a:srgbClr val="BCBCBC">
        <a:tint val="50000"/>
        <a:alpha val="40000"/>
      </a:srgbClr>
    </dgm:fillClrLst>
    <dgm:linClrLst meth="repeat">
      <a:srgbClr val="000000"/>
    </dgm:linClrLst>
    <dgm:effectClrLst/>
    <dgm:txLinClrLst/>
    <dgm:txFillClrLst meth="repeat">
      <a:srgbClr val="FFFFFF"/>
    </dgm:txFillClrLst>
    <dgm:txEffectClrLst/>
  </dgm:styleLbl>
  <dgm:styleLbl name="vennNode1">
    <dgm:fillClrLst meth="repeat">
      <a:srgbClr val="FFFFFF">
        <a:alpha val="50000"/>
      </a:srgbClr>
    </dgm:fillClrLst>
    <dgm:linClrLst meth="repeat">
      <a:srgbClr val="000000">
        <a:shade val="80000"/>
      </a:srgbClr>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align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align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align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0">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2">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3">
    <dgm:fillClrLst meth="repeat">
      <a:srgbClr val="FFFFFF"/>
    </dgm:fillClrLst>
    <dgm:linClrLst meth="repeat">
      <a:srgbClr val="000000">
        <a:shade val="80000"/>
      </a:srgbClr>
    </dgm:linClrLst>
    <dgm:effectClrLst/>
    <dgm:txLinClrLst/>
    <dgm:txFillClrLst meth="repeat">
      <a:srgbClr val="000000"/>
    </dgm:txFillClrLst>
    <dgm:txEffectClrLst/>
  </dgm:styleLbl>
  <dgm:styleLbl name="asst4">
    <dgm:fillClrLst meth="repeat">
      <a:srgbClr val="FFFFFF"/>
    </dgm:fillClrLst>
    <dgm:linClrLst meth="repeat">
      <a:srgbClr val="000000">
        <a:shade val="80000"/>
      </a:srgbClr>
    </dgm:linClrLst>
    <dgm:effectClrLst/>
    <dgm:txLinClrLst/>
    <dgm:txFillClrLst meth="repeat">
      <a:srgbClr val="000000"/>
    </dgm:txFillClrLst>
    <dgm:txEffectClrLst/>
  </dgm:styleLbl>
  <dgm:styleLbl name="b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bg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bg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bgShp">
    <dgm:fillClrLst meth="repeat">
      <a:srgbClr val="CBCBCB">
        <a:tint val="40000"/>
      </a:srgbClr>
    </dgm:fillClrLst>
    <dgm:linClrLst meth="repeat">
      <a:srgbClr val="000000"/>
    </dgm:linClrLst>
    <dgm:effectClrLst/>
    <dgm:txLinClrLst/>
    <dgm:txFillClrLst meth="repeat">
      <a:srgbClr val="000000"/>
    </dgm:txFillClrLst>
    <dgm:txEffectClrLst/>
  </dgm:styleLbl>
  <dgm:styleLbl name="bg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callout">
    <dgm:fillClrLst meth="repeat">
      <a:srgbClr val="000000"/>
    </dgm:fillClrLst>
    <dgm:linClrLst meth="repeat">
      <a:srgbClr val="000000"/>
    </dgm:linClrLst>
    <dgm:effectClrLst/>
    <dgm:txLinClrLst/>
    <dgm:txFillClrLst meth="repeat">
      <a:srgbClr val="000000"/>
    </dgm:txFillClrLst>
    <dgm:txEffectClrLst/>
  </dgm:styleLbl>
  <dgm:styleLbl name="conF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dkBgShp">
    <dgm:fillClrLst meth="repeat">
      <a:srgbClr val="000000">
        <a:shade val="80000"/>
      </a:srgbClr>
    </dgm:fillClrLst>
    <dgm:linClrLst meth="repeat">
      <a:srgbClr val="000000"/>
    </dgm:linClrLst>
    <dgm:effectClrLst/>
    <dgm:txLinClrLst/>
    <dgm:txFillClrLst meth="repeat">
      <a:srgbClr val="FFFFFF"/>
    </dgm:txFillClrLst>
    <dgm:txEffectClrLst/>
  </dgm:styleLbl>
  <dgm:styleLbl name="fgAcc0">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1">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2">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3">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4">
    <dgm:fillClrLst meth="repeat">
      <a:srgbClr val="CBCBCB">
        <a:alpha val="90000"/>
        <a:tint val="40000"/>
      </a:srgbClr>
    </dgm:fillClrLst>
    <dgm:linClrLst meth="repeat">
      <a:srgbClr val="000000"/>
    </dgm:linClrLst>
    <dgm:effectClrLst/>
    <dgm:txLinClrLst/>
    <dgm:txFillClrLst meth="repeat">
      <a:srgbClr val="000000"/>
    </dgm:txFillClrLst>
    <dgm:txEffectClrLst/>
  </dgm:styleLbl>
  <dgm:styleLbl name="fgAccFollowNode1">
    <dgm:fillClrLst meth="repeat">
      <a:srgbClr val="FFFFFF">
        <a:alpha val="90000"/>
        <a:tint val="40000"/>
      </a:srgbClr>
    </dgm:fillClrLst>
    <dgm:linClrLst meth="repeat">
      <a:srgbClr val="000000">
        <a:alpha val="90000"/>
      </a:srgbClr>
    </dgm:linClrLst>
    <dgm:effectClrLst/>
    <dgm:txLinClrLst/>
    <dgm:txFillClrLst meth="repeat">
      <a:srgbClr val="000000"/>
    </dgm:txFillClrLst>
    <dgm:txEffectClrLst/>
  </dgm:styleLbl>
  <dgm:styleLbl name="fgImgPlace1">
    <dgm:fillClrLst meth="repeat">
      <a:srgbClr val="CBCBCB">
        <a:tint val="40000"/>
      </a:srgbClr>
    </dgm:fillClrLst>
    <dgm:linClrLst meth="repeat">
      <a:srgbClr val="000000">
        <a:shade val="80000"/>
      </a:srgbClr>
    </dgm:linClrLst>
    <dgm:effectClrLst/>
    <dgm:txLinClrLst/>
    <dgm:txFillClrLst meth="repeat">
      <a:srgbClr val="FFFFFF"/>
    </dgm:txFillClrLst>
    <dgm:txEffectClrLst/>
  </dgm:styleLbl>
  <dgm:styleLbl name="fgShp">
    <dgm:fillClrLst meth="repeat">
      <a:srgbClr val="AAAAAA">
        <a:tint val="60000"/>
      </a:srgbClr>
    </dgm:fillClrLst>
    <dgm:linClrLst meth="repeat">
      <a:srgbClr val="FFFFFF"/>
    </dgm:linClrLst>
    <dgm:effectClrLst/>
    <dgm:txLinClrLst/>
    <dgm:txFillClrLst meth="repeat">
      <a:srgbClr val="000000"/>
    </dgm:txFillClrLst>
    <dgm:txEffectClrLst/>
  </dgm:styleLbl>
  <dgm:styleLbl name="fg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ln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0">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1">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2">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3">
    <dgm:fillClrLst meth="repeat">
      <a:srgbClr val="FFFFFF"/>
    </dgm:fillClrLst>
    <dgm:linClrLst meth="repeat">
      <a:srgbClr val="000000">
        <a:shade val="80000"/>
      </a:srgbClr>
    </dgm:linClrLst>
    <dgm:effectClrLst/>
    <dgm:txLinClrLst/>
    <dgm:txFillClrLst meth="repeat">
      <a:srgbClr val="000000"/>
    </dgm:txFillClrLst>
    <dgm:txEffectClrLst/>
  </dgm:styleLbl>
  <dgm:styleLbl name="node4">
    <dgm:fillClrLst meth="repeat">
      <a:srgbClr val="FFFFFF"/>
    </dgm:fillClrLst>
    <dgm:linClrLst meth="repeat">
      <a:srgbClr val="000000">
        <a:shade val="80000"/>
      </a:srgbClr>
    </dgm:linClrLst>
    <dgm:effectClrLst/>
    <dgm:txLinClrLst/>
    <dgm:txFillClrLst meth="repeat">
      <a:srgbClr val="000000"/>
    </dgm:txFillClrLst>
    <dgm:txEffectClrLst/>
  </dgm:styleLbl>
  <dgm:styleLbl name="parChTrans1D1">
    <dgm:fillClrLst meth="repeat">
      <a:srgbClr val="000000"/>
    </dgm:fillClrLst>
    <dgm:linClrLst meth="repeat">
      <a:srgbClr val="000000">
        <a:shade val="60000"/>
      </a:srgbClr>
    </dgm:linClrLst>
    <dgm:effectClrLst/>
    <dgm:txLinClrLst/>
    <dgm:txFillClrLst meth="repeat">
      <a:srgbClr val="000000"/>
    </dgm:txFillClrLst>
    <dgm:txEffectClrLst/>
  </dgm:styleLbl>
  <dgm:styleLbl name="parChTrans1D2">
    <dgm:fillClrLst meth="repeat">
      <a:srgbClr val="000000"/>
    </dgm:fillClrLst>
    <dgm:linClrLst meth="repeat">
      <a:srgbClr val="000000">
        <a:shade val="60000"/>
      </a:srgbClr>
    </dgm:linClrLst>
    <dgm:effectClrLst/>
    <dgm:txLinClrLst/>
    <dgm:txFillClrLst meth="repeat">
      <a:srgbClr val="000000"/>
    </dgm:txFillClrLst>
    <dgm:txEffectClrLst/>
  </dgm:styleLbl>
  <dgm:styleLbl name="parChTrans1D3">
    <dgm:fillClrLst meth="repeat">
      <a:srgbClr val="000000"/>
    </dgm:fillClrLst>
    <dgm:linClrLst meth="repeat">
      <a:srgbClr val="000000">
        <a:shade val="80000"/>
      </a:srgbClr>
    </dgm:linClrLst>
    <dgm:effectClrLst/>
    <dgm:txLinClrLst/>
    <dgm:txFillClrLst meth="repeat">
      <a:srgbClr val="000000"/>
    </dgm:txFillClrLst>
    <dgm:txEffectClrLst/>
  </dgm:styleLbl>
  <dgm:styleLbl name="parChTrans1D4">
    <dgm:fillClrLst meth="repeat">
      <a:srgbClr val="000000"/>
    </dgm:fillClrLst>
    <dgm:linClrLst meth="repeat">
      <a:srgbClr val="000000">
        <a:shade val="80000"/>
      </a:srgbClr>
    </dgm:linClrLst>
    <dgm:effectClrLst/>
    <dgm:txLinClrLst/>
    <dgm:txFillClrLst meth="repeat">
      <a:srgbClr val="000000"/>
    </dgm:txFillClrLst>
    <dgm:txEffectClrLst/>
  </dgm:styleLbl>
  <dgm:styleLbl name="parChTrans2D1">
    <dgm:fillClrLst meth="repeat">
      <a:srgbClr val="AAAAAA">
        <a:tint val="60000"/>
      </a:srgbClr>
    </dgm:fillClrLst>
    <dgm:linClrLst meth="repeat">
      <a:srgbClr val="AAAAAA">
        <a:tint val="60000"/>
      </a:srgbClr>
    </dgm:linClrLst>
    <dgm:effectClrLst/>
    <dgm:txLinClrLst/>
    <dgm:txFillClrLst/>
    <dgm:txEffectClrLst/>
  </dgm:styleLbl>
  <dgm:styleLbl name="parChTrans2D2">
    <dgm:fillClrLst meth="repeat">
      <a:srgbClr val="000000"/>
    </dgm:fillClrLst>
    <dgm:linClrLst meth="repeat">
      <a:srgbClr val="000000"/>
    </dgm:linClrLst>
    <dgm:effectClrLst/>
    <dgm:txLinClrLst/>
    <dgm:txFillClrLst/>
    <dgm:txEffectClrLst/>
  </dgm:styleLbl>
  <dgm:styleLbl name="parChTrans2D3">
    <dgm:fillClrLst meth="repeat">
      <a:srgbClr val="000000"/>
    </dgm:fillClrLst>
    <dgm:linClrLst meth="repeat">
      <a:srgbClr val="000000"/>
    </dgm:linClrLst>
    <dgm:effectClrLst/>
    <dgm:txLinClrLst/>
    <dgm:txFillClrLst/>
    <dgm:txEffectClrLst/>
  </dgm:styleLbl>
  <dgm:styleLbl name="parChTrans2D4">
    <dgm:fillClrLst meth="repeat">
      <a:srgbClr val="000000"/>
    </dgm:fillClrLst>
    <dgm:linClrLst meth="repeat">
      <a:srgbClr val="000000"/>
    </dgm:linClrLst>
    <dgm:effectClrLst/>
    <dgm:txLinClrLst/>
    <dgm:txFillClrLst meth="repeat">
      <a:srgbClr val="FFFFFF"/>
    </dgm:txFillClrLst>
    <dgm:txEffectClrLst/>
  </dgm:styleLbl>
  <dgm:styleLbl name="revTx">
    <dgm:fillClrLst meth="repeat">
      <a:srgbClr val="FFFFFF">
        <a:alpha val="0"/>
      </a:srgbClr>
    </dgm:fillClrLst>
    <dgm:linClrLst meth="repeat">
      <a:srgbClr val="000000">
        <a:alpha val="0"/>
      </a:srgbClr>
    </dgm:linClrLst>
    <dgm:effectClrLst/>
    <dgm:txLinClrLst/>
    <dgm:txFillClrLst meth="repeat">
      <a:srgbClr val="000000"/>
    </dgm:txFillClrLst>
    <dgm:txEffectClrLst/>
  </dgm:styleLbl>
  <dgm:styleLbl name="sibTrans1D1">
    <dgm:fillClrLst meth="repeat">
      <a:srgbClr val="000000"/>
    </dgm:fillClrLst>
    <dgm:linClrLst meth="repeat">
      <a:srgbClr val="000000"/>
    </dgm:linClrLst>
    <dgm:effectClrLst/>
    <dgm:txLinClrLst/>
    <dgm:txFillClrLst meth="repeat">
      <a:srgbClr val="000000"/>
    </dgm:txFillClrLst>
    <dgm:txEffectClrLst/>
  </dgm:styleLbl>
  <dgm:styleLbl name="sibTrans2D1">
    <dgm:fillClrLst meth="repeat">
      <a:srgbClr val="AAAAAA">
        <a:tint val="60000"/>
      </a:srgbClr>
    </dgm:fillClrLst>
    <dgm:linClrLst meth="repeat">
      <a:srgbClr val="AAAAAA">
        <a:tint val="60000"/>
      </a:srgbClr>
    </dgm:linClrLst>
    <dgm:effectClrLst/>
    <dgm:txLinClrLst/>
    <dgm:txFillClrLst meth="repeat">
      <a:srgbClr val="000000"/>
    </dgm:txFillClrLst>
    <dgm:txEffectClrLst/>
  </dgm:styleLbl>
  <dgm:styleLbl name="solidAlignAcc1">
    <dgm:fillClrLst meth="repeat">
      <a:srgbClr val="FFFFFF"/>
    </dgm:fillClrLst>
    <dgm:linClrLst meth="repeat">
      <a:srgbClr val="000000"/>
    </dgm:linClrLst>
    <dgm:effectClrLst/>
    <dgm:txLinClrLst/>
    <dgm:txFillClrLst meth="repeat">
      <a:srgbClr val="000000"/>
    </dgm:txFillClrLst>
    <dgm:txEffectClrLst/>
  </dgm:styleLbl>
  <dgm:styleLbl name="solidBgAcc1">
    <dgm:fillClrLst meth="repeat">
      <a:srgbClr val="FFFFFF"/>
    </dgm:fillClrLst>
    <dgm:linClrLst meth="repeat">
      <a:srgbClr val="000000"/>
    </dgm:linClrLst>
    <dgm:effectClrLst/>
    <dgm:txLinClrLst/>
    <dgm:txFillClrLst meth="repeat">
      <a:srgbClr val="000000"/>
    </dgm:txFillClrLst>
    <dgm:txEffectClrLst/>
  </dgm:styleLbl>
  <dgm:styleLbl name="solidFgAcc1">
    <dgm:fillClrLst meth="repeat">
      <a:srgbClr val="FFFFFF"/>
    </dgm:fillClrLst>
    <dgm:linClrLst meth="repeat">
      <a:srgbClr val="000000"/>
    </dgm:linClrLst>
    <dgm:effectClrLst/>
    <dgm:txLinClrLst/>
    <dgm:txFillClrLst meth="repeat">
      <a:srgbClr val="000000"/>
    </dgm:txFillClrLst>
    <dgm:txEffectClrLst/>
  </dgm:styleLbl>
  <dgm:styleLbl name="trAlignAcc1">
    <dgm:fillClrLst meth="repeat">
      <a:srgbClr val="CBCBCB">
        <a:alpha val="40000"/>
        <a:tint val="40000"/>
      </a:srgbClr>
    </dgm:fillClrLst>
    <dgm:linClrLst meth="repeat">
      <a:srgbClr val="000000"/>
    </dgm:linClrLst>
    <dgm:effectClrLst/>
    <dgm:txLinClrLst/>
    <dgm:txFillClrLst meth="repeat">
      <a:srgbClr val="000000"/>
    </dgm:txFillClrLst>
    <dgm:txEffectClrLst/>
  </dgm:styleLbl>
  <dgm:styleLbl name="trBgShp">
    <dgm:fillClrLst meth="repeat">
      <a:srgbClr val="BCBCBC">
        <a:tint val="50000"/>
        <a:alpha val="40000"/>
      </a:srgbClr>
    </dgm:fillClrLst>
    <dgm:linClrLst meth="repeat">
      <a:srgbClr val="000000"/>
    </dgm:linClrLst>
    <dgm:effectClrLst/>
    <dgm:txLinClrLst/>
    <dgm:txFillClrLst meth="repeat">
      <a:srgbClr val="FFFFFF"/>
    </dgm:txFillClrLst>
    <dgm:txEffectClrLst/>
  </dgm:styleLbl>
  <dgm:styleLbl name="vennNode1">
    <dgm:fillClrLst meth="repeat">
      <a:srgbClr val="FFFFFF">
        <a:alpha val="50000"/>
      </a:srgbClr>
    </dgm:fillClrLst>
    <dgm:linClrLst meth="repeat">
      <a:srgbClr val="000000">
        <a:shade val="80000"/>
      </a:srgb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77D31B3-3808-4FBA-8FA4-CC8D448A173E}" type="doc">
      <dgm:prSet loTypeId="hierarchy" loCatId="hierarchy" qsTypeId="urn:microsoft.com/office/officeart/2005/8/quickstyle/simple1" qsCatId="simple" csTypeId="urn:microsoft.com/office/officeart/2005/8/colors/accent0_1" csCatId="accent1" phldr="0"/>
      <dgm:spPr/>
      <dgm:t>
        <a:bodyPr/>
        <a:p>
          <a:endParaRPr lang="zh-CN" altLang="en-US"/>
        </a:p>
      </dgm:t>
    </dgm:pt>
    <dgm:pt modelId="{47C757F0-AA23-46BE-9311-EA432CDEEAA1}">
      <dgm:prSet phldrT="[文本]" phldr="0" custT="0"/>
      <dgm:spPr/>
      <dgm:t>
        <a:bodyPr vert="horz" wrap="square"/>
        <a:p>
          <a:pPr>
            <a:lnSpc>
              <a:spcPct val="100000"/>
            </a:lnSpc>
            <a:spcBef>
              <a:spcPct val="0"/>
            </a:spcBef>
            <a:spcAft>
              <a:spcPct val="35000"/>
            </a:spcAft>
          </a:pPr>
          <a:r>
            <a:rPr lang="zh-CN" altLang="en-US"/>
            <a:t>古代印度的教育形态</a:t>
          </a:r>
          <a:r>
            <a:rPr lang="zh-CN" altLang="en-US"/>
            <a:t/>
          </a:r>
          <a:endParaRPr lang="zh-CN" altLang="en-US"/>
        </a:p>
      </dgm:t>
    </dgm:pt>
    <dgm:pt modelId="{AB39B06D-FE6C-48B2-B5B4-77CD0C8CF7AD}" cxnId="{A3D8F468-2AD7-4472-8E23-D386A805891D}" type="parTrans">
      <dgm:prSet/>
      <dgm:spPr/>
      <dgm:t>
        <a:bodyPr/>
        <a:p>
          <a:endParaRPr lang="zh-CN" altLang="en-US"/>
        </a:p>
      </dgm:t>
    </dgm:pt>
    <dgm:pt modelId="{DF0D1C21-B79E-4875-B7FA-EF183CB48B88}" cxnId="{A3D8F468-2AD7-4472-8E23-D386A805891D}" type="sibTrans">
      <dgm:prSet/>
      <dgm:spPr/>
      <dgm:t>
        <a:bodyPr/>
        <a:p>
          <a:endParaRPr lang="zh-CN" altLang="en-US"/>
        </a:p>
      </dgm:t>
    </dgm:pt>
    <dgm:pt modelId="{B29BF47F-FB6F-4BB3-8B1F-25C507DDACF5}" type="asst">
      <dgm:prSet phldrT="[文本]" phldr="0" custT="0"/>
      <dgm:spPr/>
      <dgm:t>
        <a:bodyPr vert="horz" wrap="square"/>
        <a:p>
          <a:pPr>
            <a:lnSpc>
              <a:spcPct val="100000"/>
            </a:lnSpc>
            <a:spcBef>
              <a:spcPct val="0"/>
            </a:spcBef>
            <a:spcAft>
              <a:spcPct val="35000"/>
            </a:spcAft>
          </a:pPr>
          <a:r>
            <a:rPr lang="zh-CN" altLang="en-US"/>
            <a:t>婆罗门教</a:t>
          </a:r>
          <a:endParaRPr lang="zh-CN" altLang="en-US"/>
        </a:p>
      </dgm:t>
    </dgm:pt>
    <dgm:pt modelId="{4294CB15-5EAF-442A-BADC-24588A60ECFF}" cxnId="{FBC957F0-C758-4BBB-AF97-E589DF211FC1}" type="parTrans">
      <dgm:prSet/>
      <dgm:spPr/>
      <dgm:t>
        <a:bodyPr/>
        <a:p>
          <a:endParaRPr lang="zh-CN" altLang="en-US"/>
        </a:p>
      </dgm:t>
    </dgm:pt>
    <dgm:pt modelId="{4FBEC948-3FA9-4375-B83A-B44348E5F34D}" cxnId="{FBC957F0-C758-4BBB-AF97-E589DF211FC1}" type="sibTrans">
      <dgm:prSet/>
      <dgm:spPr/>
      <dgm:t>
        <a:bodyPr/>
        <a:p>
          <a:endParaRPr lang="zh-CN" altLang="en-US"/>
        </a:p>
      </dgm:t>
    </dgm:pt>
    <dgm:pt modelId="{BB854C77-CDB0-4D5F-9FFE-88FF29A2FCEA}">
      <dgm:prSet phldr="0" custT="0"/>
      <dgm:spPr/>
      <dgm:t>
        <a:bodyPr vert="horz" wrap="square"/>
        <a:p>
          <a:pPr>
            <a:lnSpc>
              <a:spcPct val="100000"/>
            </a:lnSpc>
            <a:spcBef>
              <a:spcPct val="0"/>
            </a:spcBef>
            <a:spcAft>
              <a:spcPct val="35000"/>
            </a:spcAft>
          </a:pPr>
          <a:r>
            <a:rPr altLang="en-US"/>
            <a:t>教育思想：教条</a:t>
          </a:r>
          <a:endParaRPr altLang="en-US"/>
        </a:p>
      </dgm:t>
    </dgm:pt>
    <dgm:pt modelId="{B391343E-94EE-439A-99C1-8F7D7C978FEE}" cxnId="{B2F921D1-1B4C-4641-9435-300F306C2754}" type="parTrans">
      <dgm:prSet/>
      <dgm:spPr/>
    </dgm:pt>
    <dgm:pt modelId="{11FCF240-CC7C-4AA9-9002-E0447A5EBED9}" cxnId="{B2F921D1-1B4C-4641-9435-300F306C2754}" type="sibTrans">
      <dgm:prSet/>
      <dgm:spPr/>
    </dgm:pt>
    <dgm:pt modelId="{AFDCC08A-2BA4-4CA5-8043-6DD9BE7DE3E4}">
      <dgm:prSet phldr="0" custT="0"/>
      <dgm:spPr/>
      <dgm:t>
        <a:bodyPr vert="horz" wrap="square"/>
        <a:p>
          <a:pPr>
            <a:lnSpc>
              <a:spcPct val="100000"/>
            </a:lnSpc>
            <a:spcBef>
              <a:spcPct val="0"/>
            </a:spcBef>
            <a:spcAft>
              <a:spcPct val="35000"/>
            </a:spcAft>
          </a:pPr>
          <a:r>
            <a:rPr altLang="en-US"/>
            <a:t>教师：僧侣</a:t>
          </a:r>
          <a:endParaRPr altLang="en-US"/>
        </a:p>
      </dgm:t>
    </dgm:pt>
    <dgm:pt modelId="{041CF9C9-3831-410D-9141-44E7FB263B31}" cxnId="{35EE37E9-BD60-417B-87CD-1F5FFEEF04A6}" type="parTrans">
      <dgm:prSet/>
      <dgm:spPr/>
    </dgm:pt>
    <dgm:pt modelId="{224A3415-1679-4F4C-A04B-EA25479559CF}" cxnId="{35EE37E9-BD60-417B-87CD-1F5FFEEF04A6}" type="sibTrans">
      <dgm:prSet/>
      <dgm:spPr/>
    </dgm:pt>
    <dgm:pt modelId="{C378B266-0F34-4614-BD12-4A0E5D924437}">
      <dgm:prSet phldr="0" custT="0"/>
      <dgm:spPr/>
      <dgm:t>
        <a:bodyPr vert="horz" wrap="square"/>
        <a:p>
          <a:pPr>
            <a:lnSpc>
              <a:spcPct val="100000"/>
            </a:lnSpc>
            <a:spcBef>
              <a:spcPct val="0"/>
            </a:spcBef>
            <a:spcAft>
              <a:spcPct val="35000"/>
            </a:spcAft>
          </a:pPr>
          <a:r>
            <a:rPr altLang="en-US"/>
            <a:t>教育活动：背诵经典、钻研经义</a:t>
          </a:r>
          <a:endParaRPr altLang="en-US"/>
        </a:p>
      </dgm:t>
    </dgm:pt>
    <dgm:pt modelId="{5C7290C5-BA3E-4D17-A512-DB24C702DC5A}" cxnId="{FC5BF11A-2175-4D11-B013-F1ED65F44D9C}" type="parTrans">
      <dgm:prSet/>
      <dgm:spPr/>
    </dgm:pt>
    <dgm:pt modelId="{3663192C-7F22-4A07-8B94-96165FE5D6E6}" cxnId="{FC5BF11A-2175-4D11-B013-F1ED65F44D9C}" type="sibTrans">
      <dgm:prSet/>
      <dgm:spPr/>
    </dgm:pt>
    <dgm:pt modelId="{D22C069A-9222-4F5E-9A42-184A1CC36876}" type="asst">
      <dgm:prSet phldr="0" custT="0"/>
      <dgm:spPr/>
      <dgm:t>
        <a:bodyPr vert="horz" wrap="square"/>
        <a:p>
          <a:pPr>
            <a:lnSpc>
              <a:spcPct val="100000"/>
            </a:lnSpc>
            <a:spcBef>
              <a:spcPct val="0"/>
            </a:spcBef>
            <a:spcAft>
              <a:spcPct val="35000"/>
            </a:spcAft>
          </a:pPr>
          <a:r>
            <a:rPr altLang="en-US"/>
            <a:t>教育经典：《吠陀》</a:t>
          </a:r>
          <a:r>
            <a:rPr lang="en-US"/>
            <a:t>—</a:t>
          </a:r>
          <a:r>
            <a:rPr altLang="en-US"/>
            <a:t>教育内容</a:t>
          </a:r>
          <a:r>
            <a:rPr altLang="en-US"/>
            <a:t/>
          </a:r>
          <a:endParaRPr altLang="en-US"/>
        </a:p>
      </dgm:t>
    </dgm:pt>
    <dgm:pt modelId="{4A60B967-84CB-48B3-B348-C96EF4DD8A52}" cxnId="{015C42E6-1C19-49BD-BB93-49F30955977A}" type="parTrans">
      <dgm:prSet/>
      <dgm:spPr/>
    </dgm:pt>
    <dgm:pt modelId="{0CE9ACFF-CAFF-44B3-8ADF-D2F4BA34F6EA}" cxnId="{015C42E6-1C19-49BD-BB93-49F30955977A}" type="sibTrans">
      <dgm:prSet/>
      <dgm:spPr/>
    </dgm:pt>
    <dgm:pt modelId="{1FCBC777-E10C-4473-BEA4-27FC4133A569}" type="asst">
      <dgm:prSet phldr="0" custT="0"/>
      <dgm:spPr/>
      <dgm:t>
        <a:bodyPr vert="horz" wrap="square"/>
        <a:p>
          <a:pPr>
            <a:lnSpc>
              <a:spcPct val="100000"/>
            </a:lnSpc>
            <a:spcBef>
              <a:spcPct val="0"/>
            </a:spcBef>
            <a:spcAft>
              <a:spcPct val="35000"/>
            </a:spcAft>
          </a:pPr>
          <a:r>
            <a:rPr altLang="en-US"/>
            <a:t>佛教 </a:t>
          </a:r>
          <a:endParaRPr altLang="en-US"/>
        </a:p>
      </dgm:t>
    </dgm:pt>
    <dgm:pt modelId="{DD2C18FF-F4FA-4B35-A904-E30FA548753D}" cxnId="{07924A23-E00F-4D16-A77B-4E0D1AEF77A6}" type="parTrans">
      <dgm:prSet/>
      <dgm:spPr/>
    </dgm:pt>
    <dgm:pt modelId="{F4BF9612-01FD-4D43-B939-39B5382AE72C}" cxnId="{07924A23-E00F-4D16-A77B-4E0D1AEF77A6}" type="sibTrans">
      <dgm:prSet/>
      <dgm:spPr/>
    </dgm:pt>
    <dgm:pt modelId="{3B7C6571-4091-4D3F-85EA-149A69A8FD61}">
      <dgm:prSet phldr="0" custT="0"/>
      <dgm:spPr/>
      <dgm:t>
        <a:bodyPr vert="horz" wrap="square"/>
        <a:p>
          <a:pPr>
            <a:lnSpc>
              <a:spcPct val="100000"/>
            </a:lnSpc>
            <a:spcBef>
              <a:spcPct val="0"/>
            </a:spcBef>
            <a:spcAft>
              <a:spcPct val="35000"/>
            </a:spcAft>
          </a:pPr>
          <a:r>
            <a:rPr altLang="en-US"/>
            <a:t>关心大众、广设庙宇</a:t>
          </a:r>
          <a:endParaRPr altLang="en-US"/>
        </a:p>
      </dgm:t>
    </dgm:pt>
    <dgm:pt modelId="{D3DBA54D-7073-4B85-B38F-8160EBEF153D}" cxnId="{4FE042D8-AFE1-4433-BFC2-16B2F3F590E0}" type="parTrans">
      <dgm:prSet/>
      <dgm:spPr/>
    </dgm:pt>
    <dgm:pt modelId="{CD122D19-52A8-4A61-83F1-39C5018B6FFC}" cxnId="{4FE042D8-AFE1-4433-BFC2-16B2F3F590E0}" type="sibTrans">
      <dgm:prSet/>
      <dgm:spPr/>
    </dgm:pt>
    <dgm:pt modelId="{12134BFF-C933-41F5-8E7A-79AD4E0CD575}">
      <dgm:prSet phldr="0" custT="0"/>
      <dgm:spPr/>
      <dgm:t>
        <a:bodyPr vert="horz" wrap="square"/>
        <a:p>
          <a:pPr>
            <a:lnSpc>
              <a:spcPct val="100000"/>
            </a:lnSpc>
            <a:spcBef>
              <a:spcPct val="0"/>
            </a:spcBef>
            <a:spcAft>
              <a:spcPct val="35000"/>
            </a:spcAft>
          </a:pPr>
          <a:r>
            <a:rPr altLang="en-US"/>
            <a:t>寺院学府</a:t>
          </a:r>
          <a:endParaRPr altLang="en-US"/>
        </a:p>
      </dgm:t>
    </dgm:pt>
    <dgm:pt modelId="{B3C1D8AC-578C-40D7-A40F-D6BC9C4F2CD3}" cxnId="{3F6AA159-CBC0-4C55-A174-8B9F26C9A265}" type="parTrans">
      <dgm:prSet/>
      <dgm:spPr/>
    </dgm:pt>
    <dgm:pt modelId="{233662D2-5587-411B-9129-10F08E75593D}" cxnId="{3F6AA159-CBC0-4C55-A174-8B9F26C9A265}" type="sibTrans">
      <dgm:prSet/>
      <dgm:spPr/>
    </dgm:pt>
    <dgm:pt modelId="{E498DC9C-C5AC-4482-A26F-3B99DC5D79F0}" type="pres">
      <dgm:prSet presAssocID="{A77D31B3-3808-4FBA-8FA4-CC8D448A173E}" presName="hierChild1" presStyleCnt="0">
        <dgm:presLayoutVars>
          <dgm:orgChart val="1"/>
          <dgm:chPref val="1"/>
          <dgm:dir val="rev"/>
          <dgm:animOne val="branch"/>
          <dgm:animLvl val="lvl"/>
          <dgm:resizeHandles/>
        </dgm:presLayoutVars>
      </dgm:prSet>
      <dgm:spPr/>
    </dgm:pt>
    <dgm:pt modelId="{F728C3E8-5128-4BB6-90CC-A86769ECE335}" type="pres">
      <dgm:prSet presAssocID="{47C757F0-AA23-46BE-9311-EA432CDEEAA1}" presName="hierRoot1" presStyleCnt="0">
        <dgm:presLayoutVars>
          <dgm:hierBranch/>
        </dgm:presLayoutVars>
      </dgm:prSet>
      <dgm:spPr/>
    </dgm:pt>
    <dgm:pt modelId="{79147750-B6BF-43FD-83A0-7ACDC9B53EFF}" type="pres">
      <dgm:prSet presAssocID="{47C757F0-AA23-46BE-9311-EA432CDEEAA1}" presName="rootComposite1" presStyleCnt="0"/>
      <dgm:spPr/>
    </dgm:pt>
    <dgm:pt modelId="{AE79172D-D441-42BB-84EA-E3D989670DED}" type="pres">
      <dgm:prSet presAssocID="{47C757F0-AA23-46BE-9311-EA432CDEEAA1}" presName="rootText1" presStyleLbl="node0" presStyleIdx="0" presStyleCnt="1">
        <dgm:presLayoutVars>
          <dgm:chPref val="3"/>
        </dgm:presLayoutVars>
      </dgm:prSet>
      <dgm:spPr/>
    </dgm:pt>
    <dgm:pt modelId="{86420519-308D-4A6A-8FEA-6FB2E39BA448}" type="pres">
      <dgm:prSet presAssocID="{47C757F0-AA23-46BE-9311-EA432CDEEAA1}" presName="rootConnector1" presStyleCnt="0"/>
      <dgm:spPr/>
    </dgm:pt>
    <dgm:pt modelId="{9A0FF10C-81C7-47CD-A320-768F2009480B}" type="pres">
      <dgm:prSet presAssocID="{47C757F0-AA23-46BE-9311-EA432CDEEAA1}" presName="hierChild2" presStyleCnt="0"/>
      <dgm:spPr/>
    </dgm:pt>
    <dgm:pt modelId="{0E819307-1B4E-434E-BA76-D5A4192B0663}" type="pres">
      <dgm:prSet presAssocID="{47C757F0-AA23-46BE-9311-EA432CDEEAA1}" presName="hierChild3" presStyleCnt="0"/>
      <dgm:spPr/>
    </dgm:pt>
    <dgm:pt modelId="{7CC60CE2-51D0-47DE-A469-FE4884597341}" type="pres">
      <dgm:prSet presAssocID="{4294CB15-5EAF-442A-BADC-24588A60ECFF}" presName="Name111" presStyleLbl="parChTrans1D2" presStyleIdx="0" presStyleCnt="2"/>
      <dgm:spPr/>
    </dgm:pt>
    <dgm:pt modelId="{2C28615C-654F-4C05-9383-C72EAED46321}" type="pres">
      <dgm:prSet presAssocID="{B29BF47F-FB6F-4BB3-8B1F-25C507DDACF5}" presName="hierRoot3" presStyleCnt="0">
        <dgm:presLayoutVars>
          <dgm:hierBranch val="init"/>
        </dgm:presLayoutVars>
      </dgm:prSet>
      <dgm:spPr/>
    </dgm:pt>
    <dgm:pt modelId="{531B400A-09FB-4AC6-91D5-6C58DB555D6A}" type="pres">
      <dgm:prSet presAssocID="{B29BF47F-FB6F-4BB3-8B1F-25C507DDACF5}" presName="rootComposite3" presStyleCnt="0"/>
      <dgm:spPr/>
    </dgm:pt>
    <dgm:pt modelId="{15F46F7C-8483-49B2-9069-BD47518FA3C5}" type="pres">
      <dgm:prSet presAssocID="{B29BF47F-FB6F-4BB3-8B1F-25C507DDACF5}" presName="rootText3" presStyleLbl="asst1" presStyleIdx="0" presStyleCnt="3">
        <dgm:presLayoutVars>
          <dgm:chPref val="3"/>
        </dgm:presLayoutVars>
      </dgm:prSet>
      <dgm:spPr/>
    </dgm:pt>
    <dgm:pt modelId="{84CA6990-2D5D-47C3-9020-DF2944DEADCF}" type="pres">
      <dgm:prSet presAssocID="{B29BF47F-FB6F-4BB3-8B1F-25C507DDACF5}" presName="rootConnector3" presStyleCnt="0"/>
      <dgm:spPr/>
    </dgm:pt>
    <dgm:pt modelId="{0851F80F-8C6D-4400-A85F-BC390C21E4EE}" type="pres">
      <dgm:prSet presAssocID="{B29BF47F-FB6F-4BB3-8B1F-25C507DDACF5}" presName="hierChild6" presStyleCnt="0"/>
      <dgm:spPr/>
    </dgm:pt>
    <dgm:pt modelId="{9DD54E66-FB61-4C92-8359-80B38EAA9506}" type="pres">
      <dgm:prSet presAssocID="{B391343E-94EE-439A-99C1-8F7D7C978FEE}" presName="Name37" presStyleLbl="parChTrans1D3" presStyleIdx="0" presStyleCnt="6"/>
      <dgm:spPr/>
    </dgm:pt>
    <dgm:pt modelId="{AE643617-B111-4B1F-B8EF-00E8972876BA}" type="pres">
      <dgm:prSet presAssocID="{BB854C77-CDB0-4D5F-9FFE-88FF29A2FCEA}" presName="hierRoot2" presStyleCnt="0">
        <dgm:presLayoutVars>
          <dgm:hierBranch val="init"/>
        </dgm:presLayoutVars>
      </dgm:prSet>
      <dgm:spPr/>
    </dgm:pt>
    <dgm:pt modelId="{F9914832-2691-403C-9A45-2C4A0703E56B}" type="pres">
      <dgm:prSet presAssocID="{BB854C77-CDB0-4D5F-9FFE-88FF29A2FCEA}" presName="rootComposite" presStyleCnt="0"/>
      <dgm:spPr/>
    </dgm:pt>
    <dgm:pt modelId="{D95358F2-9605-48D4-B48A-5295831CC079}" type="pres">
      <dgm:prSet presAssocID="{BB854C77-CDB0-4D5F-9FFE-88FF29A2FCEA}" presName="rootText" presStyleLbl="node3" presStyleIdx="0" presStyleCnt="5">
        <dgm:presLayoutVars>
          <dgm:chPref val="3"/>
        </dgm:presLayoutVars>
      </dgm:prSet>
      <dgm:spPr/>
    </dgm:pt>
    <dgm:pt modelId="{F2CBB1F8-0D59-49AE-9958-E286BAA6DFE0}" type="pres">
      <dgm:prSet presAssocID="{BB854C77-CDB0-4D5F-9FFE-88FF29A2FCEA}" presName="rootConnector" presStyleCnt="0"/>
      <dgm:spPr/>
    </dgm:pt>
    <dgm:pt modelId="{4B73CEA9-EFAE-4262-A6EA-3AB901C000CC}" type="pres">
      <dgm:prSet presAssocID="{BB854C77-CDB0-4D5F-9FFE-88FF29A2FCEA}" presName="hierChild4" presStyleCnt="0"/>
      <dgm:spPr/>
    </dgm:pt>
    <dgm:pt modelId="{3029FE5B-2228-4612-A0EC-3521691E0464}" type="pres">
      <dgm:prSet presAssocID="{BB854C77-CDB0-4D5F-9FFE-88FF29A2FCEA}" presName="hierChild5" presStyleCnt="0"/>
      <dgm:spPr/>
    </dgm:pt>
    <dgm:pt modelId="{51BB180F-B30A-458C-AD2D-2E9C8C882B03}" type="pres">
      <dgm:prSet presAssocID="{041CF9C9-3831-410D-9141-44E7FB263B31}" presName="Name37" presStyleLbl="parChTrans1D3" presStyleIdx="1" presStyleCnt="6"/>
      <dgm:spPr/>
    </dgm:pt>
    <dgm:pt modelId="{F29009DA-7F0D-45FF-BFC8-134B60C86AD0}" type="pres">
      <dgm:prSet presAssocID="{AFDCC08A-2BA4-4CA5-8043-6DD9BE7DE3E4}" presName="hierRoot2" presStyleCnt="0">
        <dgm:presLayoutVars>
          <dgm:hierBranch val="init"/>
        </dgm:presLayoutVars>
      </dgm:prSet>
      <dgm:spPr/>
    </dgm:pt>
    <dgm:pt modelId="{6E97B086-3FEF-4B35-9A18-3BE146CFC96B}" type="pres">
      <dgm:prSet presAssocID="{AFDCC08A-2BA4-4CA5-8043-6DD9BE7DE3E4}" presName="rootComposite" presStyleCnt="0"/>
      <dgm:spPr/>
    </dgm:pt>
    <dgm:pt modelId="{854B9721-51F1-4C2A-9B8E-2EF6CBB911C6}" type="pres">
      <dgm:prSet presAssocID="{AFDCC08A-2BA4-4CA5-8043-6DD9BE7DE3E4}" presName="rootText" presStyleLbl="node3" presStyleIdx="1" presStyleCnt="5">
        <dgm:presLayoutVars>
          <dgm:chPref val="3"/>
        </dgm:presLayoutVars>
      </dgm:prSet>
      <dgm:spPr/>
    </dgm:pt>
    <dgm:pt modelId="{32874044-2049-42F2-A64D-7D8D301E7842}" type="pres">
      <dgm:prSet presAssocID="{AFDCC08A-2BA4-4CA5-8043-6DD9BE7DE3E4}" presName="rootConnector" presStyleCnt="0"/>
      <dgm:spPr/>
    </dgm:pt>
    <dgm:pt modelId="{96E75697-BD98-45F2-B89D-B4B6F55D2041}" type="pres">
      <dgm:prSet presAssocID="{AFDCC08A-2BA4-4CA5-8043-6DD9BE7DE3E4}" presName="hierChild4" presStyleCnt="0"/>
      <dgm:spPr/>
    </dgm:pt>
    <dgm:pt modelId="{D42BC762-F8A1-4688-AF17-BB1DB2676836}" type="pres">
      <dgm:prSet presAssocID="{AFDCC08A-2BA4-4CA5-8043-6DD9BE7DE3E4}" presName="hierChild5" presStyleCnt="0"/>
      <dgm:spPr/>
    </dgm:pt>
    <dgm:pt modelId="{12850969-1CCA-4E7B-8B4C-5BFE28A58003}" type="pres">
      <dgm:prSet presAssocID="{5C7290C5-BA3E-4D17-A512-DB24C702DC5A}" presName="Name37" presStyleLbl="parChTrans1D3" presStyleIdx="2" presStyleCnt="6"/>
      <dgm:spPr/>
    </dgm:pt>
    <dgm:pt modelId="{706F48D8-08C7-432D-A436-05A5B51753A3}" type="pres">
      <dgm:prSet presAssocID="{C378B266-0F34-4614-BD12-4A0E5D924437}" presName="hierRoot2" presStyleCnt="0">
        <dgm:presLayoutVars>
          <dgm:hierBranch val="init"/>
        </dgm:presLayoutVars>
      </dgm:prSet>
      <dgm:spPr/>
    </dgm:pt>
    <dgm:pt modelId="{C6BDD25F-8AAF-4B03-BBAB-4E10CA334661}" type="pres">
      <dgm:prSet presAssocID="{C378B266-0F34-4614-BD12-4A0E5D924437}" presName="rootComposite" presStyleCnt="0"/>
      <dgm:spPr/>
    </dgm:pt>
    <dgm:pt modelId="{FF30D9FA-2BD7-4C51-B86C-77105D51E672}" type="pres">
      <dgm:prSet presAssocID="{C378B266-0F34-4614-BD12-4A0E5D924437}" presName="rootText" presStyleLbl="node3" presStyleIdx="2" presStyleCnt="5">
        <dgm:presLayoutVars>
          <dgm:chPref val="3"/>
        </dgm:presLayoutVars>
      </dgm:prSet>
      <dgm:spPr/>
    </dgm:pt>
    <dgm:pt modelId="{418AB6C8-AFF5-44F0-8941-A957B5CC5576}" type="pres">
      <dgm:prSet presAssocID="{C378B266-0F34-4614-BD12-4A0E5D924437}" presName="rootConnector" presStyleCnt="0"/>
      <dgm:spPr/>
    </dgm:pt>
    <dgm:pt modelId="{717E6691-D6E8-42A0-B211-E7947A868122}" type="pres">
      <dgm:prSet presAssocID="{C378B266-0F34-4614-BD12-4A0E5D924437}" presName="hierChild4" presStyleCnt="0"/>
      <dgm:spPr/>
    </dgm:pt>
    <dgm:pt modelId="{E43E7CF7-6DFE-4D32-BB04-32B9BB716459}" type="pres">
      <dgm:prSet presAssocID="{C378B266-0F34-4614-BD12-4A0E5D924437}" presName="hierChild5" presStyleCnt="0"/>
      <dgm:spPr/>
    </dgm:pt>
    <dgm:pt modelId="{3025C0A7-DA6F-4394-8167-7956EFF162F0}" type="pres">
      <dgm:prSet presAssocID="{B29BF47F-FB6F-4BB3-8B1F-25C507DDACF5}" presName="hierChild7" presStyleCnt="0"/>
      <dgm:spPr/>
    </dgm:pt>
    <dgm:pt modelId="{C7E5F989-09C1-4469-84CC-4B370CAD1448}" type="pres">
      <dgm:prSet presAssocID="{4A60B967-84CB-48B3-B348-C96EF4DD8A52}" presName="Name111" presStyleLbl="parChTrans1D3" presStyleIdx="3" presStyleCnt="6"/>
      <dgm:spPr/>
    </dgm:pt>
    <dgm:pt modelId="{8A652837-58BB-4205-963C-307A86B94B52}" type="pres">
      <dgm:prSet presAssocID="{D22C069A-9222-4F5E-9A42-184A1CC36876}" presName="hierRoot3" presStyleCnt="0">
        <dgm:presLayoutVars>
          <dgm:hierBranch val="init"/>
        </dgm:presLayoutVars>
      </dgm:prSet>
      <dgm:spPr/>
    </dgm:pt>
    <dgm:pt modelId="{2A134ACC-2F3D-4B0A-9A8C-22D1328A039D}" type="pres">
      <dgm:prSet presAssocID="{D22C069A-9222-4F5E-9A42-184A1CC36876}" presName="rootComposite3" presStyleCnt="0"/>
      <dgm:spPr/>
    </dgm:pt>
    <dgm:pt modelId="{29BADBCA-2488-40BE-946E-7BAABAE8F5F7}" type="pres">
      <dgm:prSet presAssocID="{D22C069A-9222-4F5E-9A42-184A1CC36876}" presName="rootText3" presStyleLbl="asst1" presStyleIdx="1" presStyleCnt="3">
        <dgm:presLayoutVars>
          <dgm:chPref val="3"/>
        </dgm:presLayoutVars>
      </dgm:prSet>
      <dgm:spPr/>
    </dgm:pt>
    <dgm:pt modelId="{2606D053-A4A2-494B-9362-DC57D5F9EF67}" type="pres">
      <dgm:prSet presAssocID="{D22C069A-9222-4F5E-9A42-184A1CC36876}" presName="rootConnector3" presStyleCnt="0"/>
      <dgm:spPr/>
    </dgm:pt>
    <dgm:pt modelId="{98ECB711-C73E-4A09-896F-36973308B83A}" type="pres">
      <dgm:prSet presAssocID="{D22C069A-9222-4F5E-9A42-184A1CC36876}" presName="hierChild6" presStyleCnt="0"/>
      <dgm:spPr/>
    </dgm:pt>
    <dgm:pt modelId="{5DA9CD7A-88B8-4DA9-9EC6-A997A1DFD24C}" type="pres">
      <dgm:prSet presAssocID="{D22C069A-9222-4F5E-9A42-184A1CC36876}" presName="hierChild7" presStyleCnt="0"/>
      <dgm:spPr/>
    </dgm:pt>
    <dgm:pt modelId="{E1C79B38-E485-4965-9DCD-AADB017FE3BB}" type="pres">
      <dgm:prSet presAssocID="{DD2C18FF-F4FA-4B35-A904-E30FA548753D}" presName="Name111" presStyleLbl="parChTrans1D2" presStyleIdx="1" presStyleCnt="2"/>
      <dgm:spPr/>
    </dgm:pt>
    <dgm:pt modelId="{839D1166-2CAC-4823-B819-B999548EA911}" type="pres">
      <dgm:prSet presAssocID="{1FCBC777-E10C-4473-BEA4-27FC4133A569}" presName="hierRoot3" presStyleCnt="0">
        <dgm:presLayoutVars>
          <dgm:hierBranch val="init"/>
        </dgm:presLayoutVars>
      </dgm:prSet>
      <dgm:spPr/>
    </dgm:pt>
    <dgm:pt modelId="{78275003-0BC2-4F18-9F9C-B0A4D2CD29B5}" type="pres">
      <dgm:prSet presAssocID="{1FCBC777-E10C-4473-BEA4-27FC4133A569}" presName="rootComposite3" presStyleCnt="0"/>
      <dgm:spPr/>
    </dgm:pt>
    <dgm:pt modelId="{B114F672-D499-42DC-B91C-7CA6027C25C3}" type="pres">
      <dgm:prSet presAssocID="{1FCBC777-E10C-4473-BEA4-27FC4133A569}" presName="rootText3" presStyleLbl="asst1" presStyleIdx="2" presStyleCnt="3">
        <dgm:presLayoutVars>
          <dgm:chPref val="3"/>
        </dgm:presLayoutVars>
      </dgm:prSet>
      <dgm:spPr/>
    </dgm:pt>
    <dgm:pt modelId="{E458A959-C003-490E-9788-E2472AA7C559}" type="pres">
      <dgm:prSet presAssocID="{1FCBC777-E10C-4473-BEA4-27FC4133A569}" presName="rootConnector3" presStyleCnt="0"/>
      <dgm:spPr/>
    </dgm:pt>
    <dgm:pt modelId="{9179B592-67DD-48EC-8A31-E8D587871F75}" type="pres">
      <dgm:prSet presAssocID="{1FCBC777-E10C-4473-BEA4-27FC4133A569}" presName="hierChild6" presStyleCnt="0"/>
      <dgm:spPr/>
    </dgm:pt>
    <dgm:pt modelId="{C0B31EC0-25ED-49FC-B19A-8FCB791BB41E}" type="pres">
      <dgm:prSet presAssocID="{D3DBA54D-7073-4B85-B38F-8160EBEF153D}" presName="Name37" presStyleLbl="parChTrans1D3" presStyleIdx="4" presStyleCnt="6"/>
      <dgm:spPr/>
    </dgm:pt>
    <dgm:pt modelId="{627EDEC5-2638-49AF-AE97-B2278FE5F9FD}" type="pres">
      <dgm:prSet presAssocID="{3B7C6571-4091-4D3F-85EA-149A69A8FD61}" presName="hierRoot2" presStyleCnt="0">
        <dgm:presLayoutVars>
          <dgm:hierBranch val="init"/>
        </dgm:presLayoutVars>
      </dgm:prSet>
      <dgm:spPr/>
    </dgm:pt>
    <dgm:pt modelId="{22657DA5-16A8-4DF1-8A87-11DFFC5DA5D1}" type="pres">
      <dgm:prSet presAssocID="{3B7C6571-4091-4D3F-85EA-149A69A8FD61}" presName="rootComposite" presStyleCnt="0"/>
      <dgm:spPr/>
    </dgm:pt>
    <dgm:pt modelId="{08E1B110-9E94-4FDD-9D4A-6758DE0AE9DF}" type="pres">
      <dgm:prSet presAssocID="{3B7C6571-4091-4D3F-85EA-149A69A8FD61}" presName="rootText" presStyleLbl="node3" presStyleIdx="3" presStyleCnt="5">
        <dgm:presLayoutVars>
          <dgm:chPref val="3"/>
        </dgm:presLayoutVars>
      </dgm:prSet>
      <dgm:spPr/>
    </dgm:pt>
    <dgm:pt modelId="{638433D4-F6A1-4B8E-BF05-9DD11D44523F}" type="pres">
      <dgm:prSet presAssocID="{3B7C6571-4091-4D3F-85EA-149A69A8FD61}" presName="rootConnector" presStyleCnt="0"/>
      <dgm:spPr/>
    </dgm:pt>
    <dgm:pt modelId="{7CE0C6F1-1165-4152-81B8-6C6B3E417200}" type="pres">
      <dgm:prSet presAssocID="{3B7C6571-4091-4D3F-85EA-149A69A8FD61}" presName="hierChild4" presStyleCnt="0"/>
      <dgm:spPr/>
    </dgm:pt>
    <dgm:pt modelId="{E91AB7A9-4C63-4911-AF8E-91504EF26649}" type="pres">
      <dgm:prSet presAssocID="{3B7C6571-4091-4D3F-85EA-149A69A8FD61}" presName="hierChild5" presStyleCnt="0"/>
      <dgm:spPr/>
    </dgm:pt>
    <dgm:pt modelId="{6A8843A8-82D1-43AE-AB4A-EAE68B8B65E4}" type="pres">
      <dgm:prSet presAssocID="{B3C1D8AC-578C-40D7-A40F-D6BC9C4F2CD3}" presName="Name37" presStyleLbl="parChTrans1D3" presStyleIdx="5" presStyleCnt="6"/>
      <dgm:spPr/>
    </dgm:pt>
    <dgm:pt modelId="{C8FF782F-BF9E-414E-AABF-E4F0C0223A92}" type="pres">
      <dgm:prSet presAssocID="{12134BFF-C933-41F5-8E7A-79AD4E0CD575}" presName="hierRoot2" presStyleCnt="0">
        <dgm:presLayoutVars>
          <dgm:hierBranch val="init"/>
        </dgm:presLayoutVars>
      </dgm:prSet>
      <dgm:spPr/>
    </dgm:pt>
    <dgm:pt modelId="{E1B69193-4E5D-4B77-A170-7A0FE4EA6BE5}" type="pres">
      <dgm:prSet presAssocID="{12134BFF-C933-41F5-8E7A-79AD4E0CD575}" presName="rootComposite" presStyleCnt="0"/>
      <dgm:spPr/>
    </dgm:pt>
    <dgm:pt modelId="{BF2FDB46-80D7-4EFF-A870-2E5DBB564C8A}" type="pres">
      <dgm:prSet presAssocID="{12134BFF-C933-41F5-8E7A-79AD4E0CD575}" presName="rootText" presStyleLbl="node3" presStyleIdx="4" presStyleCnt="5">
        <dgm:presLayoutVars>
          <dgm:chPref val="3"/>
        </dgm:presLayoutVars>
      </dgm:prSet>
      <dgm:spPr/>
    </dgm:pt>
    <dgm:pt modelId="{481CB4D7-7B08-4035-B5D4-71DEB7390737}" type="pres">
      <dgm:prSet presAssocID="{12134BFF-C933-41F5-8E7A-79AD4E0CD575}" presName="rootConnector" presStyleCnt="0"/>
      <dgm:spPr/>
    </dgm:pt>
    <dgm:pt modelId="{FCE9F082-5C1D-426B-A009-E276E5496A5F}" type="pres">
      <dgm:prSet presAssocID="{12134BFF-C933-41F5-8E7A-79AD4E0CD575}" presName="hierChild4" presStyleCnt="0"/>
      <dgm:spPr/>
    </dgm:pt>
    <dgm:pt modelId="{E4296A4B-F752-482C-82F8-A25B51BEC7CA}" type="pres">
      <dgm:prSet presAssocID="{12134BFF-C933-41F5-8E7A-79AD4E0CD575}" presName="hierChild5" presStyleCnt="0"/>
      <dgm:spPr/>
    </dgm:pt>
    <dgm:pt modelId="{09734CFC-C468-43FB-815D-E7FEDE25BB1E}" type="pres">
      <dgm:prSet presAssocID="{1FCBC777-E10C-4473-BEA4-27FC4133A569}" presName="hierChild7" presStyleCnt="0"/>
      <dgm:spPr/>
    </dgm:pt>
  </dgm:ptLst>
  <dgm:cxnLst>
    <dgm:cxn modelId="{A3D8F468-2AD7-4472-8E23-D386A805891D}" srcId="{A77D31B3-3808-4FBA-8FA4-CC8D448A173E}" destId="{47C757F0-AA23-46BE-9311-EA432CDEEAA1}" srcOrd="0" destOrd="0" parTransId="{AB39B06D-FE6C-48B2-B5B4-77CD0C8CF7AD}" sibTransId="{DF0D1C21-B79E-4875-B7FA-EF183CB48B88}"/>
    <dgm:cxn modelId="{FBC957F0-C758-4BBB-AF97-E589DF211FC1}" srcId="{47C757F0-AA23-46BE-9311-EA432CDEEAA1}" destId="{B29BF47F-FB6F-4BB3-8B1F-25C507DDACF5}" srcOrd="0" destOrd="0" parTransId="{4294CB15-5EAF-442A-BADC-24588A60ECFF}" sibTransId="{4FBEC948-3FA9-4375-B83A-B44348E5F34D}"/>
    <dgm:cxn modelId="{B2F921D1-1B4C-4641-9435-300F306C2754}" srcId="{B29BF47F-FB6F-4BB3-8B1F-25C507DDACF5}" destId="{BB854C77-CDB0-4D5F-9FFE-88FF29A2FCEA}" srcOrd="0" destOrd="0" parTransId="{B391343E-94EE-439A-99C1-8F7D7C978FEE}" sibTransId="{11FCF240-CC7C-4AA9-9002-E0447A5EBED9}"/>
    <dgm:cxn modelId="{35EE37E9-BD60-417B-87CD-1F5FFEEF04A6}" srcId="{B29BF47F-FB6F-4BB3-8B1F-25C507DDACF5}" destId="{AFDCC08A-2BA4-4CA5-8043-6DD9BE7DE3E4}" srcOrd="1" destOrd="0" parTransId="{041CF9C9-3831-410D-9141-44E7FB263B31}" sibTransId="{224A3415-1679-4F4C-A04B-EA25479559CF}"/>
    <dgm:cxn modelId="{FC5BF11A-2175-4D11-B013-F1ED65F44D9C}" srcId="{B29BF47F-FB6F-4BB3-8B1F-25C507DDACF5}" destId="{C378B266-0F34-4614-BD12-4A0E5D924437}" srcOrd="2" destOrd="0" parTransId="{5C7290C5-BA3E-4D17-A512-DB24C702DC5A}" sibTransId="{3663192C-7F22-4A07-8B94-96165FE5D6E6}"/>
    <dgm:cxn modelId="{015C42E6-1C19-49BD-BB93-49F30955977A}" srcId="{B29BF47F-FB6F-4BB3-8B1F-25C507DDACF5}" destId="{D22C069A-9222-4F5E-9A42-184A1CC36876}" srcOrd="3" destOrd="0" parTransId="{4A60B967-84CB-48B3-B348-C96EF4DD8A52}" sibTransId="{0CE9ACFF-CAFF-44B3-8ADF-D2F4BA34F6EA}"/>
    <dgm:cxn modelId="{07924A23-E00F-4D16-A77B-4E0D1AEF77A6}" srcId="{47C757F0-AA23-46BE-9311-EA432CDEEAA1}" destId="{1FCBC777-E10C-4473-BEA4-27FC4133A569}" srcOrd="1" destOrd="0" parTransId="{DD2C18FF-F4FA-4B35-A904-E30FA548753D}" sibTransId="{F4BF9612-01FD-4D43-B939-39B5382AE72C}"/>
    <dgm:cxn modelId="{4FE042D8-AFE1-4433-BFC2-16B2F3F590E0}" srcId="{1FCBC777-E10C-4473-BEA4-27FC4133A569}" destId="{3B7C6571-4091-4D3F-85EA-149A69A8FD61}" srcOrd="0" destOrd="1" parTransId="{D3DBA54D-7073-4B85-B38F-8160EBEF153D}" sibTransId="{CD122D19-52A8-4A61-83F1-39C5018B6FFC}"/>
    <dgm:cxn modelId="{3F6AA159-CBC0-4C55-A174-8B9F26C9A265}" srcId="{1FCBC777-E10C-4473-BEA4-27FC4133A569}" destId="{12134BFF-C933-41F5-8E7A-79AD4E0CD575}" srcOrd="1" destOrd="1" parTransId="{B3C1D8AC-578C-40D7-A40F-D6BC9C4F2CD3}" sibTransId="{233662D2-5587-411B-9129-10F08E75593D}"/>
    <dgm:cxn modelId="{CBD65177-5C17-44EF-8A70-8495E567958C}" type="presOf" srcId="{A77D31B3-3808-4FBA-8FA4-CC8D448A173E}" destId="{E498DC9C-C5AC-4482-A26F-3B99DC5D79F0}" srcOrd="0" destOrd="0" presId="urn:microsoft.com/office/officeart/2005/8/layout/orgChart1"/>
    <dgm:cxn modelId="{A3BCA1AD-BA09-4854-AD13-9B0D0D0F69FC}" type="presParOf" srcId="{E498DC9C-C5AC-4482-A26F-3B99DC5D79F0}" destId="{F728C3E8-5128-4BB6-90CC-A86769ECE335}" srcOrd="0" destOrd="0" presId="urn:microsoft.com/office/officeart/2005/8/layout/orgChart1"/>
    <dgm:cxn modelId="{03C95235-9D92-44F2-8041-DF47174ADB38}" type="presParOf" srcId="{F728C3E8-5128-4BB6-90CC-A86769ECE335}" destId="{79147750-B6BF-43FD-83A0-7ACDC9B53EFF}" srcOrd="0" destOrd="0" presId="urn:microsoft.com/office/officeart/2005/8/layout/orgChart1"/>
    <dgm:cxn modelId="{345203EC-5090-4C91-8F54-996A5AB3A195}" type="presOf" srcId="{47C757F0-AA23-46BE-9311-EA432CDEEAA1}" destId="{79147750-B6BF-43FD-83A0-7ACDC9B53EFF}" srcOrd="0" destOrd="0" presId="urn:microsoft.com/office/officeart/2005/8/layout/orgChart1"/>
    <dgm:cxn modelId="{2E12FE19-2873-4C06-9FCD-75A2CE62953C}" type="presParOf" srcId="{79147750-B6BF-43FD-83A0-7ACDC9B53EFF}" destId="{AE79172D-D441-42BB-84EA-E3D989670DED}" srcOrd="0" destOrd="0" presId="urn:microsoft.com/office/officeart/2005/8/layout/orgChart1"/>
    <dgm:cxn modelId="{16FC04FA-21A1-42DE-A2BA-4E44F552FC79}" type="presOf" srcId="{47C757F0-AA23-46BE-9311-EA432CDEEAA1}" destId="{AE79172D-D441-42BB-84EA-E3D989670DED}" srcOrd="0" destOrd="0" presId="urn:microsoft.com/office/officeart/2005/8/layout/orgChart1"/>
    <dgm:cxn modelId="{C5A77F9B-BE6A-42DA-B84B-A85A172C2A7F}" type="presParOf" srcId="{79147750-B6BF-43FD-83A0-7ACDC9B53EFF}" destId="{86420519-308D-4A6A-8FEA-6FB2E39BA448}" srcOrd="1" destOrd="0" presId="urn:microsoft.com/office/officeart/2005/8/layout/orgChart1"/>
    <dgm:cxn modelId="{E3AED615-E689-4C10-8847-83B4C53593F8}" type="presOf" srcId="{47C757F0-AA23-46BE-9311-EA432CDEEAA1}" destId="{86420519-308D-4A6A-8FEA-6FB2E39BA448}" srcOrd="0" destOrd="0" presId="urn:microsoft.com/office/officeart/2005/8/layout/orgChart1"/>
    <dgm:cxn modelId="{ECFEE0B6-D168-419F-BCC9-AC3EC60A9E10}" type="presParOf" srcId="{F728C3E8-5128-4BB6-90CC-A86769ECE335}" destId="{9A0FF10C-81C7-47CD-A320-768F2009480B}" srcOrd="1" destOrd="0" presId="urn:microsoft.com/office/officeart/2005/8/layout/orgChart1"/>
    <dgm:cxn modelId="{F0F214CA-A427-44B0-B074-2C2CEB14A484}" type="presParOf" srcId="{F728C3E8-5128-4BB6-90CC-A86769ECE335}" destId="{0E819307-1B4E-434E-BA76-D5A4192B0663}" srcOrd="2" destOrd="0" presId="urn:microsoft.com/office/officeart/2005/8/layout/orgChart1"/>
    <dgm:cxn modelId="{2CBC0C01-147A-461B-B32F-537BB2A2D56C}" type="presParOf" srcId="{0E819307-1B4E-434E-BA76-D5A4192B0663}" destId="{7CC60CE2-51D0-47DE-A469-FE4884597341}" srcOrd="0" destOrd="2" presId="urn:microsoft.com/office/officeart/2005/8/layout/orgChart1"/>
    <dgm:cxn modelId="{7F6D63D1-5C65-49CE-8992-BFB7EF4B2CED}" type="presOf" srcId="{4294CB15-5EAF-442A-BADC-24588A60ECFF}" destId="{7CC60CE2-51D0-47DE-A469-FE4884597341}" srcOrd="0" destOrd="0" presId="urn:microsoft.com/office/officeart/2005/8/layout/orgChart1"/>
    <dgm:cxn modelId="{C074A17B-3A67-46CA-903B-189B9D0A9201}" type="presParOf" srcId="{0E819307-1B4E-434E-BA76-D5A4192B0663}" destId="{2C28615C-654F-4C05-9383-C72EAED46321}" srcOrd="1" destOrd="2" presId="urn:microsoft.com/office/officeart/2005/8/layout/orgChart1"/>
    <dgm:cxn modelId="{E06263F5-81BA-43D5-AEB0-3CCB85AF35BB}" type="presParOf" srcId="{2C28615C-654F-4C05-9383-C72EAED46321}" destId="{531B400A-09FB-4AC6-91D5-6C58DB555D6A}" srcOrd="0" destOrd="1" presId="urn:microsoft.com/office/officeart/2005/8/layout/orgChart1"/>
    <dgm:cxn modelId="{39856C0D-63A4-4206-ABEC-6FD3FA5F1669}" type="presOf" srcId="{B29BF47F-FB6F-4BB3-8B1F-25C507DDACF5}" destId="{531B400A-09FB-4AC6-91D5-6C58DB555D6A}" srcOrd="0" destOrd="0" presId="urn:microsoft.com/office/officeart/2005/8/layout/orgChart1"/>
    <dgm:cxn modelId="{6A6E12B9-39C3-41CD-9C4F-885C42401607}" type="presParOf" srcId="{531B400A-09FB-4AC6-91D5-6C58DB555D6A}" destId="{15F46F7C-8483-49B2-9069-BD47518FA3C5}" srcOrd="0" destOrd="0" presId="urn:microsoft.com/office/officeart/2005/8/layout/orgChart1"/>
    <dgm:cxn modelId="{05F0E517-7440-4BD5-B476-9BAA6AB77FE8}" type="presOf" srcId="{B29BF47F-FB6F-4BB3-8B1F-25C507DDACF5}" destId="{15F46F7C-8483-49B2-9069-BD47518FA3C5}" srcOrd="0" destOrd="0" presId="urn:microsoft.com/office/officeart/2005/8/layout/orgChart1"/>
    <dgm:cxn modelId="{2FAF748C-00C0-46BC-8083-182040266489}" type="presParOf" srcId="{531B400A-09FB-4AC6-91D5-6C58DB555D6A}" destId="{84CA6990-2D5D-47C3-9020-DF2944DEADCF}" srcOrd="1" destOrd="0" presId="urn:microsoft.com/office/officeart/2005/8/layout/orgChart1"/>
    <dgm:cxn modelId="{168A8D00-1E34-4611-A0C5-3FBD74DBAA9F}" type="presOf" srcId="{B29BF47F-FB6F-4BB3-8B1F-25C507DDACF5}" destId="{84CA6990-2D5D-47C3-9020-DF2944DEADCF}" srcOrd="0" destOrd="0" presId="urn:microsoft.com/office/officeart/2005/8/layout/orgChart1"/>
    <dgm:cxn modelId="{27F6295C-3DDF-4561-AEEC-7A1AA1DAB8FC}" type="presParOf" srcId="{2C28615C-654F-4C05-9383-C72EAED46321}" destId="{0851F80F-8C6D-4400-A85F-BC390C21E4EE}" srcOrd="1" destOrd="1" presId="urn:microsoft.com/office/officeart/2005/8/layout/orgChart1"/>
    <dgm:cxn modelId="{57446285-D075-4CA0-BA88-77C56582A4B0}" type="presParOf" srcId="{0851F80F-8C6D-4400-A85F-BC390C21E4EE}" destId="{9DD54E66-FB61-4C92-8359-80B38EAA9506}" srcOrd="0" destOrd="1" presId="urn:microsoft.com/office/officeart/2005/8/layout/orgChart1"/>
    <dgm:cxn modelId="{D69EAA26-A4DF-4A3C-8C84-A5F5E149248B}" type="presOf" srcId="{B391343E-94EE-439A-99C1-8F7D7C978FEE}" destId="{9DD54E66-FB61-4C92-8359-80B38EAA9506}" srcOrd="0" destOrd="0" presId="urn:microsoft.com/office/officeart/2005/8/layout/orgChart1"/>
    <dgm:cxn modelId="{629E2AF5-751B-48DE-A54A-013997C5CE06}" type="presParOf" srcId="{0851F80F-8C6D-4400-A85F-BC390C21E4EE}" destId="{AE643617-B111-4B1F-B8EF-00E8972876BA}" srcOrd="1" destOrd="1" presId="urn:microsoft.com/office/officeart/2005/8/layout/orgChart1"/>
    <dgm:cxn modelId="{090A3B08-85FC-4D3D-9A00-BDE3924D22FA}" type="presParOf" srcId="{AE643617-B111-4B1F-B8EF-00E8972876BA}" destId="{F9914832-2691-403C-9A45-2C4A0703E56B}" srcOrd="0" destOrd="1" presId="urn:microsoft.com/office/officeart/2005/8/layout/orgChart1"/>
    <dgm:cxn modelId="{8862C31D-2A53-432F-801C-84331DF0B5F2}" type="presOf" srcId="{BB854C77-CDB0-4D5F-9FFE-88FF29A2FCEA}" destId="{F9914832-2691-403C-9A45-2C4A0703E56B}" srcOrd="0" destOrd="0" presId="urn:microsoft.com/office/officeart/2005/8/layout/orgChart1"/>
    <dgm:cxn modelId="{46718788-8D62-418F-ABBC-690EDF45037C}" type="presParOf" srcId="{F9914832-2691-403C-9A45-2C4A0703E56B}" destId="{D95358F2-9605-48D4-B48A-5295831CC079}" srcOrd="0" destOrd="0" presId="urn:microsoft.com/office/officeart/2005/8/layout/orgChart1"/>
    <dgm:cxn modelId="{44D17507-9C2E-46F8-A9B4-F76CED3671B7}" type="presOf" srcId="{BB854C77-CDB0-4D5F-9FFE-88FF29A2FCEA}" destId="{D95358F2-9605-48D4-B48A-5295831CC079}" srcOrd="0" destOrd="0" presId="urn:microsoft.com/office/officeart/2005/8/layout/orgChart1"/>
    <dgm:cxn modelId="{CBBA6B0D-F15B-4A57-96E9-3C61A4493B6B}" type="presParOf" srcId="{F9914832-2691-403C-9A45-2C4A0703E56B}" destId="{F2CBB1F8-0D59-49AE-9958-E286BAA6DFE0}" srcOrd="1" destOrd="0" presId="urn:microsoft.com/office/officeart/2005/8/layout/orgChart1"/>
    <dgm:cxn modelId="{2EF193C1-D261-4A58-BDEC-0E5126914E13}" type="presOf" srcId="{BB854C77-CDB0-4D5F-9FFE-88FF29A2FCEA}" destId="{F2CBB1F8-0D59-49AE-9958-E286BAA6DFE0}" srcOrd="0" destOrd="0" presId="urn:microsoft.com/office/officeart/2005/8/layout/orgChart1"/>
    <dgm:cxn modelId="{9F0586D6-B9B1-4A11-95B6-05F4A4F1FD97}" type="presParOf" srcId="{AE643617-B111-4B1F-B8EF-00E8972876BA}" destId="{4B73CEA9-EFAE-4262-A6EA-3AB901C000CC}" srcOrd="1" destOrd="1" presId="urn:microsoft.com/office/officeart/2005/8/layout/orgChart1"/>
    <dgm:cxn modelId="{58EA02D7-0AB4-4FE3-97F8-318F3733C919}" type="presParOf" srcId="{AE643617-B111-4B1F-B8EF-00E8972876BA}" destId="{3029FE5B-2228-4612-A0EC-3521691E0464}" srcOrd="2" destOrd="1" presId="urn:microsoft.com/office/officeart/2005/8/layout/orgChart1"/>
    <dgm:cxn modelId="{A3FD84D8-5512-4CBE-A8F7-584D11386E44}" type="presParOf" srcId="{0851F80F-8C6D-4400-A85F-BC390C21E4EE}" destId="{51BB180F-B30A-458C-AD2D-2E9C8C882B03}" srcOrd="2" destOrd="1" presId="urn:microsoft.com/office/officeart/2005/8/layout/orgChart1"/>
    <dgm:cxn modelId="{CF96EA50-89FB-4302-BF84-64D3BF780A58}" type="presOf" srcId="{041CF9C9-3831-410D-9141-44E7FB263B31}" destId="{51BB180F-B30A-458C-AD2D-2E9C8C882B03}" srcOrd="0" destOrd="0" presId="urn:microsoft.com/office/officeart/2005/8/layout/orgChart1"/>
    <dgm:cxn modelId="{56672ED5-1E9E-4236-8AB0-968E0B5E6860}" type="presParOf" srcId="{0851F80F-8C6D-4400-A85F-BC390C21E4EE}" destId="{F29009DA-7F0D-45FF-BFC8-134B60C86AD0}" srcOrd="3" destOrd="1" presId="urn:microsoft.com/office/officeart/2005/8/layout/orgChart1"/>
    <dgm:cxn modelId="{B6D0482B-B60E-48F9-9DD9-084AEDBA3D04}" type="presParOf" srcId="{F29009DA-7F0D-45FF-BFC8-134B60C86AD0}" destId="{6E97B086-3FEF-4B35-9A18-3BE146CFC96B}" srcOrd="0" destOrd="3" presId="urn:microsoft.com/office/officeart/2005/8/layout/orgChart1"/>
    <dgm:cxn modelId="{72F150E1-4D9F-4B04-AB10-1B02531A4521}" type="presOf" srcId="{AFDCC08A-2BA4-4CA5-8043-6DD9BE7DE3E4}" destId="{6E97B086-3FEF-4B35-9A18-3BE146CFC96B}" srcOrd="0" destOrd="0" presId="urn:microsoft.com/office/officeart/2005/8/layout/orgChart1"/>
    <dgm:cxn modelId="{961A4DDE-8A45-4EA8-9F61-0573B0EB0C86}" type="presParOf" srcId="{6E97B086-3FEF-4B35-9A18-3BE146CFC96B}" destId="{854B9721-51F1-4C2A-9B8E-2EF6CBB911C6}" srcOrd="0" destOrd="0" presId="urn:microsoft.com/office/officeart/2005/8/layout/orgChart1"/>
    <dgm:cxn modelId="{26D508B3-8DC9-4E5C-B0F1-09B76EDFFF65}" type="presOf" srcId="{AFDCC08A-2BA4-4CA5-8043-6DD9BE7DE3E4}" destId="{854B9721-51F1-4C2A-9B8E-2EF6CBB911C6}" srcOrd="0" destOrd="0" presId="urn:microsoft.com/office/officeart/2005/8/layout/orgChart1"/>
    <dgm:cxn modelId="{BC3BCFC3-4AD7-4AEC-AF12-3C16E8BF6359}" type="presParOf" srcId="{6E97B086-3FEF-4B35-9A18-3BE146CFC96B}" destId="{32874044-2049-42F2-A64D-7D8D301E7842}" srcOrd="1" destOrd="0" presId="urn:microsoft.com/office/officeart/2005/8/layout/orgChart1"/>
    <dgm:cxn modelId="{ECFAEF9B-A3D1-4019-A587-E88BB3EB5565}" type="presOf" srcId="{AFDCC08A-2BA4-4CA5-8043-6DD9BE7DE3E4}" destId="{32874044-2049-42F2-A64D-7D8D301E7842}" srcOrd="0" destOrd="0" presId="urn:microsoft.com/office/officeart/2005/8/layout/orgChart1"/>
    <dgm:cxn modelId="{691322D1-B480-4176-90E5-4E5F0AE823CA}" type="presParOf" srcId="{F29009DA-7F0D-45FF-BFC8-134B60C86AD0}" destId="{96E75697-BD98-45F2-B89D-B4B6F55D2041}" srcOrd="1" destOrd="3" presId="urn:microsoft.com/office/officeart/2005/8/layout/orgChart1"/>
    <dgm:cxn modelId="{E260519A-CCFB-4828-A292-C5AD120DEB0A}" type="presParOf" srcId="{F29009DA-7F0D-45FF-BFC8-134B60C86AD0}" destId="{D42BC762-F8A1-4688-AF17-BB1DB2676836}" srcOrd="2" destOrd="3" presId="urn:microsoft.com/office/officeart/2005/8/layout/orgChart1"/>
    <dgm:cxn modelId="{DA23FB19-9ED7-428D-A74B-C5CE7AC28C88}" type="presParOf" srcId="{0851F80F-8C6D-4400-A85F-BC390C21E4EE}" destId="{12850969-1CCA-4E7B-8B4C-5BFE28A58003}" srcOrd="4" destOrd="1" presId="urn:microsoft.com/office/officeart/2005/8/layout/orgChart1"/>
    <dgm:cxn modelId="{F6DAD624-58FD-471D-A7E8-9AC60DC80232}" type="presOf" srcId="{5C7290C5-BA3E-4D17-A512-DB24C702DC5A}" destId="{12850969-1CCA-4E7B-8B4C-5BFE28A58003}" srcOrd="0" destOrd="0" presId="urn:microsoft.com/office/officeart/2005/8/layout/orgChart1"/>
    <dgm:cxn modelId="{05EA7F52-6BB1-4FB2-8869-8B6C747AA10B}" type="presParOf" srcId="{0851F80F-8C6D-4400-A85F-BC390C21E4EE}" destId="{706F48D8-08C7-432D-A436-05A5B51753A3}" srcOrd="5" destOrd="1" presId="urn:microsoft.com/office/officeart/2005/8/layout/orgChart1"/>
    <dgm:cxn modelId="{40AEEEAA-0FEA-481B-9849-0A9B3C872FC8}" type="presParOf" srcId="{706F48D8-08C7-432D-A436-05A5B51753A3}" destId="{C6BDD25F-8AAF-4B03-BBAB-4E10CA334661}" srcOrd="0" destOrd="5" presId="urn:microsoft.com/office/officeart/2005/8/layout/orgChart1"/>
    <dgm:cxn modelId="{DE605FDA-F14F-4A3E-BF35-8F01DC9F9BF8}" type="presOf" srcId="{C378B266-0F34-4614-BD12-4A0E5D924437}" destId="{C6BDD25F-8AAF-4B03-BBAB-4E10CA334661}" srcOrd="0" destOrd="0" presId="urn:microsoft.com/office/officeart/2005/8/layout/orgChart1"/>
    <dgm:cxn modelId="{A90BBCD8-6D0C-4306-AB98-F0D9B64D7BF9}" type="presParOf" srcId="{C6BDD25F-8AAF-4B03-BBAB-4E10CA334661}" destId="{FF30D9FA-2BD7-4C51-B86C-77105D51E672}" srcOrd="0" destOrd="0" presId="urn:microsoft.com/office/officeart/2005/8/layout/orgChart1"/>
    <dgm:cxn modelId="{02E1624C-14C7-422E-8197-4AB0A335E594}" type="presOf" srcId="{C378B266-0F34-4614-BD12-4A0E5D924437}" destId="{FF30D9FA-2BD7-4C51-B86C-77105D51E672}" srcOrd="0" destOrd="0" presId="urn:microsoft.com/office/officeart/2005/8/layout/orgChart1"/>
    <dgm:cxn modelId="{A733F7AF-757F-4D46-95FE-324FC40A7DDD}" type="presParOf" srcId="{C6BDD25F-8AAF-4B03-BBAB-4E10CA334661}" destId="{418AB6C8-AFF5-44F0-8941-A957B5CC5576}" srcOrd="1" destOrd="0" presId="urn:microsoft.com/office/officeart/2005/8/layout/orgChart1"/>
    <dgm:cxn modelId="{95D0B7BC-6620-4FBB-8026-83E6495393D8}" type="presOf" srcId="{C378B266-0F34-4614-BD12-4A0E5D924437}" destId="{418AB6C8-AFF5-44F0-8941-A957B5CC5576}" srcOrd="0" destOrd="0" presId="urn:microsoft.com/office/officeart/2005/8/layout/orgChart1"/>
    <dgm:cxn modelId="{7EFC567E-2DC1-48C8-B979-CAD19891E652}" type="presParOf" srcId="{706F48D8-08C7-432D-A436-05A5B51753A3}" destId="{717E6691-D6E8-42A0-B211-E7947A868122}" srcOrd="1" destOrd="5" presId="urn:microsoft.com/office/officeart/2005/8/layout/orgChart1"/>
    <dgm:cxn modelId="{F489DC2F-E742-4B0E-9874-BDBAE9A8B5AF}" type="presParOf" srcId="{706F48D8-08C7-432D-A436-05A5B51753A3}" destId="{E43E7CF7-6DFE-4D32-BB04-32B9BB716459}" srcOrd="2" destOrd="5" presId="urn:microsoft.com/office/officeart/2005/8/layout/orgChart1"/>
    <dgm:cxn modelId="{2F1C1FE5-4982-4C15-B9FD-E7CEDCD2F755}" type="presParOf" srcId="{2C28615C-654F-4C05-9383-C72EAED46321}" destId="{3025C0A7-DA6F-4394-8167-7956EFF162F0}" srcOrd="2" destOrd="1" presId="urn:microsoft.com/office/officeart/2005/8/layout/orgChart1"/>
    <dgm:cxn modelId="{9F75B1F7-98F9-4337-ADC3-58507A4DEF76}" type="presParOf" srcId="{3025C0A7-DA6F-4394-8167-7956EFF162F0}" destId="{C7E5F989-09C1-4469-84CC-4B370CAD1448}" srcOrd="0" destOrd="2" presId="urn:microsoft.com/office/officeart/2005/8/layout/orgChart1"/>
    <dgm:cxn modelId="{F7ED0901-89A5-4B31-8A06-7E7E7737842E}" type="presOf" srcId="{4A60B967-84CB-48B3-B348-C96EF4DD8A52}" destId="{C7E5F989-09C1-4469-84CC-4B370CAD1448}" srcOrd="0" destOrd="0" presId="urn:microsoft.com/office/officeart/2005/8/layout/orgChart1"/>
    <dgm:cxn modelId="{4815FA1D-FA5C-44DB-977C-8F40E892AE14}" type="presParOf" srcId="{3025C0A7-DA6F-4394-8167-7956EFF162F0}" destId="{8A652837-58BB-4205-963C-307A86B94B52}" srcOrd="1" destOrd="2" presId="urn:microsoft.com/office/officeart/2005/8/layout/orgChart1"/>
    <dgm:cxn modelId="{D96009E2-BF6A-4BE0-95D2-743DF09CA470}" type="presParOf" srcId="{8A652837-58BB-4205-963C-307A86B94B52}" destId="{2A134ACC-2F3D-4B0A-9A8C-22D1328A039D}" srcOrd="0" destOrd="1" presId="urn:microsoft.com/office/officeart/2005/8/layout/orgChart1"/>
    <dgm:cxn modelId="{2AD32D76-6828-4A63-B0EC-A366A7F0CA35}" type="presOf" srcId="{D22C069A-9222-4F5E-9A42-184A1CC36876}" destId="{2A134ACC-2F3D-4B0A-9A8C-22D1328A039D}" srcOrd="0" destOrd="0" presId="urn:microsoft.com/office/officeart/2005/8/layout/orgChart1"/>
    <dgm:cxn modelId="{6345CC8D-B137-4AEF-AAC9-19962062FB2C}" type="presParOf" srcId="{2A134ACC-2F3D-4B0A-9A8C-22D1328A039D}" destId="{29BADBCA-2488-40BE-946E-7BAABAE8F5F7}" srcOrd="0" destOrd="0" presId="urn:microsoft.com/office/officeart/2005/8/layout/orgChart1"/>
    <dgm:cxn modelId="{EB05609B-7FB8-4691-AB10-828AAB5DE99E}" type="presOf" srcId="{D22C069A-9222-4F5E-9A42-184A1CC36876}" destId="{29BADBCA-2488-40BE-946E-7BAABAE8F5F7}" srcOrd="0" destOrd="0" presId="urn:microsoft.com/office/officeart/2005/8/layout/orgChart1"/>
    <dgm:cxn modelId="{65704156-20AE-4EF7-9A9A-D48176FCBEA6}" type="presParOf" srcId="{2A134ACC-2F3D-4B0A-9A8C-22D1328A039D}" destId="{2606D053-A4A2-494B-9362-DC57D5F9EF67}" srcOrd="1" destOrd="0" presId="urn:microsoft.com/office/officeart/2005/8/layout/orgChart1"/>
    <dgm:cxn modelId="{0729368B-3520-4CA9-8258-05F2ACA45214}" type="presOf" srcId="{D22C069A-9222-4F5E-9A42-184A1CC36876}" destId="{2606D053-A4A2-494B-9362-DC57D5F9EF67}" srcOrd="0" destOrd="0" presId="urn:microsoft.com/office/officeart/2005/8/layout/orgChart1"/>
    <dgm:cxn modelId="{7FF04467-9C32-451C-968A-215BE06A2C0E}" type="presParOf" srcId="{8A652837-58BB-4205-963C-307A86B94B52}" destId="{98ECB711-C73E-4A09-896F-36973308B83A}" srcOrd="1" destOrd="1" presId="urn:microsoft.com/office/officeart/2005/8/layout/orgChart1"/>
    <dgm:cxn modelId="{DDB17B6E-25AB-4654-B547-EB58EF209821}" type="presParOf" srcId="{8A652837-58BB-4205-963C-307A86B94B52}" destId="{5DA9CD7A-88B8-4DA9-9EC6-A997A1DFD24C}" srcOrd="2" destOrd="1" presId="urn:microsoft.com/office/officeart/2005/8/layout/orgChart1"/>
    <dgm:cxn modelId="{D5AE7A55-C9C7-40F0-BB2E-93FEB628BB6E}" type="presParOf" srcId="{0E819307-1B4E-434E-BA76-D5A4192B0663}" destId="{E1C79B38-E485-4965-9DCD-AADB017FE3BB}" srcOrd="2" destOrd="2" presId="urn:microsoft.com/office/officeart/2005/8/layout/orgChart1"/>
    <dgm:cxn modelId="{4DB0F5D5-8DC5-4BBF-8BE1-5176657158A6}" type="presOf" srcId="{DD2C18FF-F4FA-4B35-A904-E30FA548753D}" destId="{E1C79B38-E485-4965-9DCD-AADB017FE3BB}" srcOrd="0" destOrd="0" presId="urn:microsoft.com/office/officeart/2005/8/layout/orgChart1"/>
    <dgm:cxn modelId="{152ED82B-81BB-468E-8220-C59368E8C296}" type="presParOf" srcId="{0E819307-1B4E-434E-BA76-D5A4192B0663}" destId="{839D1166-2CAC-4823-B819-B999548EA911}" srcOrd="3" destOrd="2" presId="urn:microsoft.com/office/officeart/2005/8/layout/orgChart1"/>
    <dgm:cxn modelId="{05C3B6ED-CA0C-4085-817A-8B0E39080458}" type="presParOf" srcId="{839D1166-2CAC-4823-B819-B999548EA911}" destId="{78275003-0BC2-4F18-9F9C-B0A4D2CD29B5}" srcOrd="0" destOrd="3" presId="urn:microsoft.com/office/officeart/2005/8/layout/orgChart1"/>
    <dgm:cxn modelId="{255ECE7A-25AB-415E-9B70-A17526042D3D}" type="presOf" srcId="{1FCBC777-E10C-4473-BEA4-27FC4133A569}" destId="{78275003-0BC2-4F18-9F9C-B0A4D2CD29B5}" srcOrd="0" destOrd="0" presId="urn:microsoft.com/office/officeart/2005/8/layout/orgChart1"/>
    <dgm:cxn modelId="{263607CA-36A0-4549-A77A-50280559CBEE}" type="presParOf" srcId="{78275003-0BC2-4F18-9F9C-B0A4D2CD29B5}" destId="{B114F672-D499-42DC-B91C-7CA6027C25C3}" srcOrd="0" destOrd="0" presId="urn:microsoft.com/office/officeart/2005/8/layout/orgChart1"/>
    <dgm:cxn modelId="{EDAC7282-E108-45FF-B77A-788D5ACB24C3}" type="presOf" srcId="{1FCBC777-E10C-4473-BEA4-27FC4133A569}" destId="{B114F672-D499-42DC-B91C-7CA6027C25C3}" srcOrd="0" destOrd="0" presId="urn:microsoft.com/office/officeart/2005/8/layout/orgChart1"/>
    <dgm:cxn modelId="{38FA191D-763F-4242-92C0-E4575CE780BE}" type="presParOf" srcId="{78275003-0BC2-4F18-9F9C-B0A4D2CD29B5}" destId="{E458A959-C003-490E-9788-E2472AA7C559}" srcOrd="1" destOrd="0" presId="urn:microsoft.com/office/officeart/2005/8/layout/orgChart1"/>
    <dgm:cxn modelId="{5626882A-0D9F-4E37-9FBA-3382D965A508}" type="presOf" srcId="{1FCBC777-E10C-4473-BEA4-27FC4133A569}" destId="{E458A959-C003-490E-9788-E2472AA7C559}" srcOrd="0" destOrd="0" presId="urn:microsoft.com/office/officeart/2005/8/layout/orgChart1"/>
    <dgm:cxn modelId="{E6CCCF9A-8FD5-4E0E-8F44-5DA806B46DFD}" type="presParOf" srcId="{839D1166-2CAC-4823-B819-B999548EA911}" destId="{9179B592-67DD-48EC-8A31-E8D587871F75}" srcOrd="1" destOrd="3" presId="urn:microsoft.com/office/officeart/2005/8/layout/orgChart1"/>
    <dgm:cxn modelId="{F0ADC12D-B53A-45F9-BE35-F0EE7699C5E4}" type="presParOf" srcId="{9179B592-67DD-48EC-8A31-E8D587871F75}" destId="{C0B31EC0-25ED-49FC-B19A-8FCB791BB41E}" srcOrd="0" destOrd="1" presId="urn:microsoft.com/office/officeart/2005/8/layout/orgChart1"/>
    <dgm:cxn modelId="{40765696-6A28-48CF-A3ED-E22F4A778EEE}" type="presOf" srcId="{D3DBA54D-7073-4B85-B38F-8160EBEF153D}" destId="{C0B31EC0-25ED-49FC-B19A-8FCB791BB41E}" srcOrd="0" destOrd="0" presId="urn:microsoft.com/office/officeart/2005/8/layout/orgChart1"/>
    <dgm:cxn modelId="{048CA5D5-4AEF-4D3D-ABE4-BA59FF6F9575}" type="presParOf" srcId="{9179B592-67DD-48EC-8A31-E8D587871F75}" destId="{627EDEC5-2638-49AF-AE97-B2278FE5F9FD}" srcOrd="1" destOrd="1" presId="urn:microsoft.com/office/officeart/2005/8/layout/orgChart1"/>
    <dgm:cxn modelId="{0C0D3DE8-8FED-4632-9B1A-8F9238963778}" type="presParOf" srcId="{627EDEC5-2638-49AF-AE97-B2278FE5F9FD}" destId="{22657DA5-16A8-4DF1-8A87-11DFFC5DA5D1}" srcOrd="0" destOrd="1" presId="urn:microsoft.com/office/officeart/2005/8/layout/orgChart1"/>
    <dgm:cxn modelId="{22AC28C4-D3D1-4C2D-B369-3C11D3C1CC87}" type="presOf" srcId="{3B7C6571-4091-4D3F-85EA-149A69A8FD61}" destId="{22657DA5-16A8-4DF1-8A87-11DFFC5DA5D1}" srcOrd="0" destOrd="0" presId="urn:microsoft.com/office/officeart/2005/8/layout/orgChart1"/>
    <dgm:cxn modelId="{1EC3FBA4-CCEB-4736-B02F-E2C9766F6F46}" type="presParOf" srcId="{22657DA5-16A8-4DF1-8A87-11DFFC5DA5D1}" destId="{08E1B110-9E94-4FDD-9D4A-6758DE0AE9DF}" srcOrd="0" destOrd="0" presId="urn:microsoft.com/office/officeart/2005/8/layout/orgChart1"/>
    <dgm:cxn modelId="{2B214246-9716-47EF-83AF-029D5986156E}" type="presOf" srcId="{3B7C6571-4091-4D3F-85EA-149A69A8FD61}" destId="{08E1B110-9E94-4FDD-9D4A-6758DE0AE9DF}" srcOrd="0" destOrd="0" presId="urn:microsoft.com/office/officeart/2005/8/layout/orgChart1"/>
    <dgm:cxn modelId="{CF04FB6F-F367-4430-944D-9AF593D71F60}" type="presParOf" srcId="{22657DA5-16A8-4DF1-8A87-11DFFC5DA5D1}" destId="{638433D4-F6A1-4B8E-BF05-9DD11D44523F}" srcOrd="1" destOrd="0" presId="urn:microsoft.com/office/officeart/2005/8/layout/orgChart1"/>
    <dgm:cxn modelId="{EDC2C9D4-54D2-4736-9A49-9956A8604B19}" type="presOf" srcId="{3B7C6571-4091-4D3F-85EA-149A69A8FD61}" destId="{638433D4-F6A1-4B8E-BF05-9DD11D44523F}" srcOrd="0" destOrd="0" presId="urn:microsoft.com/office/officeart/2005/8/layout/orgChart1"/>
    <dgm:cxn modelId="{9A97E83C-CDB9-4953-97C6-BA0E6D4AFCB5}" type="presParOf" srcId="{627EDEC5-2638-49AF-AE97-B2278FE5F9FD}" destId="{7CE0C6F1-1165-4152-81B8-6C6B3E417200}" srcOrd="1" destOrd="1" presId="urn:microsoft.com/office/officeart/2005/8/layout/orgChart1"/>
    <dgm:cxn modelId="{572D660A-F1DB-4026-8DE5-A8FC71469DDC}" type="presParOf" srcId="{627EDEC5-2638-49AF-AE97-B2278FE5F9FD}" destId="{E91AB7A9-4C63-4911-AF8E-91504EF26649}" srcOrd="2" destOrd="1" presId="urn:microsoft.com/office/officeart/2005/8/layout/orgChart1"/>
    <dgm:cxn modelId="{81D0CC06-7BA8-480A-95ED-1F3210BF6313}" type="presParOf" srcId="{9179B592-67DD-48EC-8A31-E8D587871F75}" destId="{6A8843A8-82D1-43AE-AB4A-EAE68B8B65E4}" srcOrd="2" destOrd="1" presId="urn:microsoft.com/office/officeart/2005/8/layout/orgChart1"/>
    <dgm:cxn modelId="{DEDA4A0A-B855-4E9E-9ED8-21A0DEBEB9F1}" type="presOf" srcId="{B3C1D8AC-578C-40D7-A40F-D6BC9C4F2CD3}" destId="{6A8843A8-82D1-43AE-AB4A-EAE68B8B65E4}" srcOrd="0" destOrd="0" presId="urn:microsoft.com/office/officeart/2005/8/layout/orgChart1"/>
    <dgm:cxn modelId="{8CE0481C-1A0E-4ECC-949B-0328F6BD83BA}" type="presParOf" srcId="{9179B592-67DD-48EC-8A31-E8D587871F75}" destId="{C8FF782F-BF9E-414E-AABF-E4F0C0223A92}" srcOrd="3" destOrd="1" presId="urn:microsoft.com/office/officeart/2005/8/layout/orgChart1"/>
    <dgm:cxn modelId="{D22ACEA3-CCC3-47CC-84B2-BD208F154AE4}" type="presParOf" srcId="{C8FF782F-BF9E-414E-AABF-E4F0C0223A92}" destId="{E1B69193-4E5D-4B77-A170-7A0FE4EA6BE5}" srcOrd="0" destOrd="3" presId="urn:microsoft.com/office/officeart/2005/8/layout/orgChart1"/>
    <dgm:cxn modelId="{E4B3790C-FE9E-46AA-A169-888A3936DDC0}" type="presOf" srcId="{12134BFF-C933-41F5-8E7A-79AD4E0CD575}" destId="{E1B69193-4E5D-4B77-A170-7A0FE4EA6BE5}" srcOrd="0" destOrd="0" presId="urn:microsoft.com/office/officeart/2005/8/layout/orgChart1"/>
    <dgm:cxn modelId="{93889DA6-6F87-4CB5-A2C0-7511BB5A441A}" type="presParOf" srcId="{E1B69193-4E5D-4B77-A170-7A0FE4EA6BE5}" destId="{BF2FDB46-80D7-4EFF-A870-2E5DBB564C8A}" srcOrd="0" destOrd="0" presId="urn:microsoft.com/office/officeart/2005/8/layout/orgChart1"/>
    <dgm:cxn modelId="{FF7A07A7-84AB-4D63-9A77-3B4255690DEF}" type="presOf" srcId="{12134BFF-C933-41F5-8E7A-79AD4E0CD575}" destId="{BF2FDB46-80D7-4EFF-A870-2E5DBB564C8A}" srcOrd="0" destOrd="0" presId="urn:microsoft.com/office/officeart/2005/8/layout/orgChart1"/>
    <dgm:cxn modelId="{75608A66-C445-4C94-81A4-7CC9DF533DFD}" type="presParOf" srcId="{E1B69193-4E5D-4B77-A170-7A0FE4EA6BE5}" destId="{481CB4D7-7B08-4035-B5D4-71DEB7390737}" srcOrd="1" destOrd="0" presId="urn:microsoft.com/office/officeart/2005/8/layout/orgChart1"/>
    <dgm:cxn modelId="{92FAB7F6-AB03-47D1-A3DC-7D3CCD78A0E8}" type="presOf" srcId="{12134BFF-C933-41F5-8E7A-79AD4E0CD575}" destId="{481CB4D7-7B08-4035-B5D4-71DEB7390737}" srcOrd="0" destOrd="0" presId="urn:microsoft.com/office/officeart/2005/8/layout/orgChart1"/>
    <dgm:cxn modelId="{C7156461-230F-44DE-ADB6-892E070FC15E}" type="presParOf" srcId="{C8FF782F-BF9E-414E-AABF-E4F0C0223A92}" destId="{FCE9F082-5C1D-426B-A009-E276E5496A5F}" srcOrd="1" destOrd="3" presId="urn:microsoft.com/office/officeart/2005/8/layout/orgChart1"/>
    <dgm:cxn modelId="{4BEED231-CF98-45BA-9263-952680BCDED0}" type="presParOf" srcId="{C8FF782F-BF9E-414E-AABF-E4F0C0223A92}" destId="{E4296A4B-F752-482C-82F8-A25B51BEC7CA}" srcOrd="2" destOrd="3" presId="urn:microsoft.com/office/officeart/2005/8/layout/orgChart1"/>
    <dgm:cxn modelId="{90E3A3B6-1787-4738-96BA-A573FF3D6740}" type="presParOf" srcId="{839D1166-2CAC-4823-B819-B999548EA911}" destId="{09734CFC-C468-43FB-815D-E7FEDE25BB1E}" srcOrd="2" destOrd="3"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A77D31B3-3808-4FBA-8FA4-CC8D448A173E}" type="doc">
      <dgm:prSet loTypeId="hierarchy" loCatId="hierarchy" qsTypeId="urn:microsoft.com/office/officeart/2005/8/quickstyle/simple1" qsCatId="simple" csTypeId="urn:microsoft.com/office/officeart/2005/8/colors/accent0_1" csCatId="accent1" phldr="0"/>
      <dgm:spPr/>
      <dgm:t>
        <a:bodyPr/>
        <a:p>
          <a:endParaRPr lang="zh-CN" altLang="en-US"/>
        </a:p>
      </dgm:t>
    </dgm:pt>
    <dgm:pt modelId="{47C757F0-AA23-46BE-9311-EA432CDEEAA1}">
      <dgm:prSet phldrT="[文本]" phldr="0" custT="1"/>
      <dgm:spPr/>
      <dgm:t>
        <a:bodyPr vert="horz" wrap="square"/>
        <a:p>
          <a:pPr>
            <a:lnSpc>
              <a:spcPct val="100000"/>
            </a:lnSpc>
            <a:spcBef>
              <a:spcPct val="0"/>
            </a:spcBef>
            <a:spcAft>
              <a:spcPct val="35000"/>
            </a:spcAft>
          </a:pPr>
          <a:r>
            <a:rPr lang="zh-CN" altLang="en-US" sz="1400"/>
            <a:t>教育功能 </a:t>
          </a:r>
          <a:r>
            <a:rPr lang="zh-CN" altLang="en-US" sz="1400"/>
            <a:t/>
          </a:r>
          <a:endParaRPr lang="zh-CN" altLang="en-US" sz="1400"/>
        </a:p>
      </dgm:t>
    </dgm:pt>
    <dgm:pt modelId="{AB39B06D-FE6C-48B2-B5B4-77CD0C8CF7AD}" cxnId="{5B67DD30-77BD-4CBB-9789-B3295D6B716C}" type="parTrans">
      <dgm:prSet/>
      <dgm:spPr/>
      <dgm:t>
        <a:bodyPr/>
        <a:p>
          <a:endParaRPr lang="zh-CN" altLang="en-US"/>
        </a:p>
      </dgm:t>
    </dgm:pt>
    <dgm:pt modelId="{DF0D1C21-B79E-4875-B7FA-EF183CB48B88}" cxnId="{5B67DD30-77BD-4CBB-9789-B3295D6B716C}" type="sibTrans">
      <dgm:prSet/>
      <dgm:spPr/>
      <dgm:t>
        <a:bodyPr/>
        <a:p>
          <a:endParaRPr lang="zh-CN" altLang="en-US"/>
        </a:p>
      </dgm:t>
    </dgm:pt>
    <dgm:pt modelId="{12714FC6-8B41-47E5-91DD-F02D34D23B93}">
      <dgm:prSet phldrT="[文本]" phldr="0" custT="0"/>
      <dgm:spPr/>
      <dgm:t>
        <a:bodyPr vert="horz" wrap="square"/>
        <a:p>
          <a:pPr>
            <a:lnSpc>
              <a:spcPct val="100000"/>
            </a:lnSpc>
            <a:spcBef>
              <a:spcPct val="0"/>
            </a:spcBef>
            <a:spcAft>
              <a:spcPct val="35000"/>
            </a:spcAft>
          </a:pPr>
          <a:r>
            <a:rPr lang="zh-CN" altLang="en-US"/>
            <a:t>作用对象</a:t>
          </a:r>
          <a:endParaRPr lang="zh-CN" altLang="en-US"/>
        </a:p>
      </dgm:t>
    </dgm:pt>
    <dgm:pt modelId="{EACD17F5-D793-4A43-B489-D1804D50CFEF}" cxnId="{E4A04B66-F7D8-4551-A6C1-4446994EABA3}" type="parTrans">
      <dgm:prSet/>
      <dgm:spPr/>
      <dgm:t>
        <a:bodyPr/>
        <a:p>
          <a:endParaRPr lang="zh-CN" altLang="en-US"/>
        </a:p>
      </dgm:t>
    </dgm:pt>
    <dgm:pt modelId="{FA45D93F-0724-4936-AA45-E6762732A19D}" cxnId="{E4A04B66-F7D8-4551-A6C1-4446994EABA3}" type="sibTrans">
      <dgm:prSet/>
      <dgm:spPr/>
      <dgm:t>
        <a:bodyPr/>
        <a:p>
          <a:endParaRPr lang="zh-CN" altLang="en-US"/>
        </a:p>
      </dgm:t>
    </dgm:pt>
    <dgm:pt modelId="{1D2C48AF-E981-4279-B7FE-F8D2D170C667}" type="asst">
      <dgm:prSet phldr="0" custT="1"/>
      <dgm:spPr/>
      <dgm:t>
        <a:bodyPr vert="horz" wrap="square"/>
        <a:p>
          <a:pPr>
            <a:lnSpc>
              <a:spcPct val="100000"/>
            </a:lnSpc>
            <a:spcBef>
              <a:spcPct val="0"/>
            </a:spcBef>
            <a:spcAft>
              <a:spcPct val="35000"/>
            </a:spcAft>
          </a:pPr>
          <a:r>
            <a:rPr altLang="en-US" sz="1200"/>
            <a:t>个体功能</a:t>
          </a:r>
          <a:endParaRPr altLang="en-US" sz="1200"/>
        </a:p>
        <a:p>
          <a:pPr>
            <a:lnSpc>
              <a:spcPct val="100000"/>
            </a:lnSpc>
            <a:spcBef>
              <a:spcPct val="0"/>
            </a:spcBef>
            <a:spcAft>
              <a:spcPct val="35000"/>
            </a:spcAft>
          </a:pPr>
          <a:r>
            <a:rPr lang="zh-CN" sz="1200"/>
            <a:t>（本体）</a:t>
          </a:r>
          <a:r>
            <a:rPr lang="zh-CN" sz="1200"/>
            <a:t/>
          </a:r>
          <a:endParaRPr lang="zh-CN" sz="1200"/>
        </a:p>
      </dgm:t>
    </dgm:pt>
    <dgm:pt modelId="{64263A4D-19A7-48EE-B7CB-FFC91911AE4B}" cxnId="{9544905D-6730-40DE-9C1E-7F126698A8FA}" type="parTrans">
      <dgm:prSet/>
      <dgm:spPr/>
    </dgm:pt>
    <dgm:pt modelId="{1C387922-B2DB-437C-B7C6-55DCB68C4179}" cxnId="{9544905D-6730-40DE-9C1E-7F126698A8FA}" type="sibTrans">
      <dgm:prSet/>
      <dgm:spPr/>
    </dgm:pt>
    <dgm:pt modelId="{3A66AACB-CA4A-4F2B-A1FC-C427053CFB9E}" type="asst">
      <dgm:prSet phldr="0" custT="1"/>
      <dgm:spPr/>
      <dgm:t>
        <a:bodyPr vert="horz" wrap="square"/>
        <a:p>
          <a:pPr>
            <a:lnSpc>
              <a:spcPct val="100000"/>
            </a:lnSpc>
            <a:spcBef>
              <a:spcPct val="0"/>
            </a:spcBef>
            <a:spcAft>
              <a:spcPct val="35000"/>
            </a:spcAft>
          </a:pPr>
          <a:r>
            <a:rPr altLang="en-US" sz="1200"/>
            <a:t>社会功能</a:t>
          </a:r>
          <a:endParaRPr altLang="en-US" sz="1200"/>
        </a:p>
        <a:p>
          <a:pPr>
            <a:lnSpc>
              <a:spcPct val="100000"/>
            </a:lnSpc>
            <a:spcBef>
              <a:spcPct val="0"/>
            </a:spcBef>
            <a:spcAft>
              <a:spcPct val="35000"/>
            </a:spcAft>
          </a:pPr>
          <a:r>
            <a:rPr lang="zh-CN" sz="1200"/>
            <a:t>（派生）</a:t>
          </a:r>
          <a:r>
            <a:rPr lang="zh-CN" sz="1200"/>
            <a:t/>
          </a:r>
          <a:endParaRPr lang="zh-CN" sz="1200"/>
        </a:p>
      </dgm:t>
    </dgm:pt>
    <dgm:pt modelId="{775DD5DA-1141-4B52-97C7-C76FCDC5D11A}" cxnId="{10BEA9B7-B833-4A99-B261-29899975E100}" type="parTrans">
      <dgm:prSet/>
      <dgm:spPr/>
    </dgm:pt>
    <dgm:pt modelId="{084923D3-C7AC-40B8-8B13-ECF44F420646}" cxnId="{10BEA9B7-B833-4A99-B261-29899975E100}" type="sibTrans">
      <dgm:prSet/>
      <dgm:spPr/>
    </dgm:pt>
    <dgm:pt modelId="{4EC42421-831D-4CD3-8215-2AF4300F9C01}">
      <dgm:prSet phldrT="[文本]" phldr="0" custT="0"/>
      <dgm:spPr/>
      <dgm:t>
        <a:bodyPr vert="horz" wrap="square"/>
        <a:p>
          <a:pPr>
            <a:lnSpc>
              <a:spcPct val="100000"/>
            </a:lnSpc>
            <a:spcBef>
              <a:spcPct val="0"/>
            </a:spcBef>
            <a:spcAft>
              <a:spcPct val="35000"/>
            </a:spcAft>
          </a:pPr>
          <a:r>
            <a:rPr lang="zh-CN" altLang="en-US"/>
            <a:t>作用方向</a:t>
          </a:r>
          <a:endParaRPr lang="zh-CN" altLang="en-US"/>
        </a:p>
      </dgm:t>
    </dgm:pt>
    <dgm:pt modelId="{8D5FB264-0A5C-4C3A-85B7-453D9BD837DF}" cxnId="{04E29584-CC73-4090-A221-2A6C7C08C916}" type="parTrans">
      <dgm:prSet/>
      <dgm:spPr/>
      <dgm:t>
        <a:bodyPr/>
        <a:p>
          <a:endParaRPr lang="zh-CN" altLang="en-US"/>
        </a:p>
      </dgm:t>
    </dgm:pt>
    <dgm:pt modelId="{A1825131-D805-48C8-BFCE-E45C02E6F5CE}" cxnId="{04E29584-CC73-4090-A221-2A6C7C08C916}" type="sibTrans">
      <dgm:prSet/>
      <dgm:spPr/>
      <dgm:t>
        <a:bodyPr/>
        <a:p>
          <a:endParaRPr lang="zh-CN" altLang="en-US"/>
        </a:p>
      </dgm:t>
    </dgm:pt>
    <dgm:pt modelId="{6BAA187D-14AF-44CA-B020-8D82489B362D}" type="asst">
      <dgm:prSet phldr="0" custT="1"/>
      <dgm:spPr/>
      <dgm:t>
        <a:bodyPr vert="horz" wrap="square"/>
        <a:p>
          <a:pPr>
            <a:lnSpc>
              <a:spcPct val="100000"/>
            </a:lnSpc>
            <a:spcBef>
              <a:spcPct val="0"/>
            </a:spcBef>
            <a:spcAft>
              <a:spcPct val="35000"/>
            </a:spcAft>
          </a:pPr>
          <a:r>
            <a:rPr altLang="en-US" sz="1200"/>
            <a:t>正向功能</a:t>
          </a:r>
          <a:endParaRPr altLang="en-US" sz="1200"/>
        </a:p>
        <a:p>
          <a:pPr>
            <a:lnSpc>
              <a:spcPct val="100000"/>
            </a:lnSpc>
            <a:spcBef>
              <a:spcPct val="0"/>
            </a:spcBef>
            <a:spcAft>
              <a:spcPct val="35000"/>
            </a:spcAft>
          </a:pPr>
          <a:r>
            <a:rPr lang="zh-CN" sz="1200"/>
            <a:t>（积极）</a:t>
          </a:r>
          <a:r>
            <a:rPr lang="zh-CN" sz="1200"/>
            <a:t/>
          </a:r>
          <a:endParaRPr lang="zh-CN" sz="1200"/>
        </a:p>
      </dgm:t>
    </dgm:pt>
    <dgm:pt modelId="{2EA8CCF8-7FD0-4977-A0E2-C3EC1EEE3FAB}" cxnId="{1831A8F4-00C0-4276-9635-7F81DCE97798}" type="parTrans">
      <dgm:prSet/>
      <dgm:spPr/>
    </dgm:pt>
    <dgm:pt modelId="{2032FC23-8CFA-4FC3-80F5-79A3FDFB597A}" cxnId="{1831A8F4-00C0-4276-9635-7F81DCE97798}" type="sibTrans">
      <dgm:prSet/>
      <dgm:spPr/>
    </dgm:pt>
    <dgm:pt modelId="{9DEEF4B3-0E39-4A51-9D06-040C67FFB4C2}" type="asst">
      <dgm:prSet phldr="0" custT="1"/>
      <dgm:spPr/>
      <dgm:t>
        <a:bodyPr vert="horz" wrap="square"/>
        <a:p>
          <a:pPr>
            <a:lnSpc>
              <a:spcPct val="100000"/>
            </a:lnSpc>
            <a:spcBef>
              <a:spcPct val="0"/>
            </a:spcBef>
            <a:spcAft>
              <a:spcPct val="35000"/>
            </a:spcAft>
          </a:pPr>
          <a:r>
            <a:rPr altLang="en-US" sz="1200"/>
            <a:t>负向功能</a:t>
          </a:r>
          <a:endParaRPr altLang="en-US" sz="1200"/>
        </a:p>
        <a:p>
          <a:pPr>
            <a:lnSpc>
              <a:spcPct val="100000"/>
            </a:lnSpc>
            <a:spcBef>
              <a:spcPct val="0"/>
            </a:spcBef>
            <a:spcAft>
              <a:spcPct val="35000"/>
            </a:spcAft>
          </a:pPr>
          <a:r>
            <a:rPr lang="zh-CN" sz="1200"/>
            <a:t>（消极）</a:t>
          </a:r>
          <a:r>
            <a:rPr lang="zh-CN" sz="1200"/>
            <a:t/>
          </a:r>
          <a:endParaRPr lang="zh-CN" sz="1200"/>
        </a:p>
      </dgm:t>
    </dgm:pt>
    <dgm:pt modelId="{9FE70CD7-CF8A-4055-8FA5-62E5CBEDE926}" cxnId="{AEF6BB5C-A157-4C11-A484-D1A118E74522}" type="parTrans">
      <dgm:prSet/>
      <dgm:spPr/>
    </dgm:pt>
    <dgm:pt modelId="{A1B9D069-1165-4F23-BC49-C918284E8A7A}" cxnId="{AEF6BB5C-A157-4C11-A484-D1A118E74522}" type="sibTrans">
      <dgm:prSet/>
      <dgm:spPr/>
    </dgm:pt>
    <dgm:pt modelId="{CF717C8A-B40B-4AFF-BF49-65ABB7DF8190}">
      <dgm:prSet phldrT="[文本]" phldr="0" custT="0"/>
      <dgm:spPr/>
      <dgm:t>
        <a:bodyPr vert="horz" wrap="square"/>
        <a:p>
          <a:pPr>
            <a:lnSpc>
              <a:spcPct val="100000"/>
            </a:lnSpc>
            <a:spcBef>
              <a:spcPct val="0"/>
            </a:spcBef>
            <a:spcAft>
              <a:spcPct val="35000"/>
            </a:spcAft>
          </a:pPr>
          <a:r>
            <a:rPr lang="zh-CN" altLang="en-US"/>
            <a:t>作用呈现形式</a:t>
          </a:r>
          <a:endParaRPr lang="zh-CN" altLang="en-US"/>
        </a:p>
      </dgm:t>
    </dgm:pt>
    <dgm:pt modelId="{CCF68ADE-40B6-47D0-93C1-88EC13ADC8AC}" cxnId="{F6E607E5-B288-40B2-BE07-802FDC7F7266}" type="parTrans">
      <dgm:prSet/>
      <dgm:spPr/>
      <dgm:t>
        <a:bodyPr/>
        <a:p>
          <a:endParaRPr lang="zh-CN" altLang="en-US"/>
        </a:p>
      </dgm:t>
    </dgm:pt>
    <dgm:pt modelId="{630D3E0B-D1D7-4E1A-8193-515AA5E1866F}" cxnId="{F6E607E5-B288-40B2-BE07-802FDC7F7266}" type="sibTrans">
      <dgm:prSet/>
      <dgm:spPr/>
      <dgm:t>
        <a:bodyPr/>
        <a:p>
          <a:endParaRPr lang="zh-CN" altLang="en-US"/>
        </a:p>
      </dgm:t>
    </dgm:pt>
    <dgm:pt modelId="{267D8B74-9A15-410A-9FF2-2ED3CA309B6D}" type="asst">
      <dgm:prSet phldr="0" custT="1"/>
      <dgm:spPr/>
      <dgm:t>
        <a:bodyPr vert="horz" wrap="square"/>
        <a:p>
          <a:pPr>
            <a:lnSpc>
              <a:spcPct val="100000"/>
            </a:lnSpc>
            <a:spcBef>
              <a:spcPct val="0"/>
            </a:spcBef>
            <a:spcAft>
              <a:spcPct val="35000"/>
            </a:spcAft>
          </a:pPr>
          <a:r>
            <a:rPr altLang="en-US" sz="1200"/>
            <a:t>显性功能</a:t>
          </a:r>
          <a:endParaRPr altLang="en-US" sz="1200"/>
        </a:p>
        <a:p>
          <a:pPr>
            <a:lnSpc>
              <a:spcPct val="100000"/>
            </a:lnSpc>
            <a:spcBef>
              <a:spcPct val="0"/>
            </a:spcBef>
            <a:spcAft>
              <a:spcPct val="35000"/>
            </a:spcAft>
          </a:pPr>
          <a:r>
            <a:rPr lang="zh-CN" sz="1200"/>
            <a:t>（可预期）</a:t>
          </a:r>
          <a:r>
            <a:rPr lang="zh-CN" sz="1200"/>
            <a:t/>
          </a:r>
          <a:endParaRPr lang="zh-CN" sz="1200"/>
        </a:p>
      </dgm:t>
    </dgm:pt>
    <dgm:pt modelId="{205CB134-D785-40C6-B75E-D1D2ECAB5FAC}" cxnId="{739675EB-0CEA-4D87-9D43-9D886556570A}" type="parTrans">
      <dgm:prSet/>
      <dgm:spPr/>
    </dgm:pt>
    <dgm:pt modelId="{402FC049-6EAD-4358-80A4-7D977084E9FC}" cxnId="{739675EB-0CEA-4D87-9D43-9D886556570A}" type="sibTrans">
      <dgm:prSet/>
      <dgm:spPr/>
    </dgm:pt>
    <dgm:pt modelId="{4D9BD77A-66B7-453F-A92A-A2A5560A19CB}" type="asst">
      <dgm:prSet phldr="0" custT="1"/>
      <dgm:spPr/>
      <dgm:t>
        <a:bodyPr vert="horz" wrap="square"/>
        <a:p>
          <a:pPr>
            <a:lnSpc>
              <a:spcPct val="100000"/>
            </a:lnSpc>
            <a:spcBef>
              <a:spcPct val="0"/>
            </a:spcBef>
            <a:spcAft>
              <a:spcPct val="35000"/>
            </a:spcAft>
          </a:pPr>
          <a:r>
            <a:rPr altLang="en-US" sz="1200"/>
            <a:t>隐性功能</a:t>
          </a:r>
          <a:endParaRPr altLang="en-US" sz="1200"/>
        </a:p>
        <a:p>
          <a:pPr>
            <a:lnSpc>
              <a:spcPct val="100000"/>
            </a:lnSpc>
            <a:spcBef>
              <a:spcPct val="0"/>
            </a:spcBef>
            <a:spcAft>
              <a:spcPct val="35000"/>
            </a:spcAft>
          </a:pPr>
          <a:r>
            <a:rPr lang="zh-CN" sz="1200"/>
            <a:t>（不可预期）</a:t>
          </a:r>
          <a:r>
            <a:rPr lang="zh-CN" sz="1200"/>
            <a:t/>
          </a:r>
          <a:endParaRPr lang="zh-CN" sz="1200"/>
        </a:p>
      </dgm:t>
    </dgm:pt>
    <dgm:pt modelId="{801F2C34-6928-41C3-BB75-EA93B0F45BB2}" cxnId="{346EEEE1-B40F-4C5A-A861-49BFE0404B49}" type="parTrans">
      <dgm:prSet/>
      <dgm:spPr/>
    </dgm:pt>
    <dgm:pt modelId="{B2E2BDAD-2657-450B-9931-825E573FEDE3}" cxnId="{346EEEE1-B40F-4C5A-A861-49BFE0404B49}" type="sibTrans">
      <dgm:prSet/>
      <dgm:spPr/>
    </dgm:pt>
    <dgm:pt modelId="{E498DC9C-C5AC-4482-A26F-3B99DC5D79F0}" type="pres">
      <dgm:prSet presAssocID="{A77D31B3-3808-4FBA-8FA4-CC8D448A173E}" presName="hierChild1" presStyleCnt="0">
        <dgm:presLayoutVars>
          <dgm:orgChart val="1"/>
          <dgm:chPref val="1"/>
          <dgm:dir/>
          <dgm:animOne val="branch"/>
          <dgm:animLvl val="lvl"/>
          <dgm:resizeHandles/>
        </dgm:presLayoutVars>
      </dgm:prSet>
      <dgm:spPr/>
    </dgm:pt>
    <dgm:pt modelId="{F728C3E8-5128-4BB6-90CC-A86769ECE335}" type="pres">
      <dgm:prSet presAssocID="{47C757F0-AA23-46BE-9311-EA432CDEEAA1}" presName="hierRoot1" presStyleCnt="0">
        <dgm:presLayoutVars>
          <dgm:hierBranch val="init"/>
        </dgm:presLayoutVars>
      </dgm:prSet>
      <dgm:spPr/>
    </dgm:pt>
    <dgm:pt modelId="{79147750-B6BF-43FD-83A0-7ACDC9B53EFF}" type="pres">
      <dgm:prSet presAssocID="{47C757F0-AA23-46BE-9311-EA432CDEEAA1}" presName="rootComposite1" presStyleCnt="0"/>
      <dgm:spPr/>
    </dgm:pt>
    <dgm:pt modelId="{AE79172D-D441-42BB-84EA-E3D989670DED}" type="pres">
      <dgm:prSet presAssocID="{47C757F0-AA23-46BE-9311-EA432CDEEAA1}" presName="rootText1" presStyleLbl="node0" presStyleIdx="0" presStyleCnt="1">
        <dgm:presLayoutVars>
          <dgm:chPref val="3"/>
        </dgm:presLayoutVars>
      </dgm:prSet>
      <dgm:spPr/>
    </dgm:pt>
    <dgm:pt modelId="{86420519-308D-4A6A-8FEA-6FB2E39BA448}" type="pres">
      <dgm:prSet presAssocID="{47C757F0-AA23-46BE-9311-EA432CDEEAA1}" presName="rootConnector1" presStyleCnt="0"/>
      <dgm:spPr/>
    </dgm:pt>
    <dgm:pt modelId="{9A0FF10C-81C7-47CD-A320-768F2009480B}" type="pres">
      <dgm:prSet presAssocID="{47C757F0-AA23-46BE-9311-EA432CDEEAA1}" presName="hierChild2" presStyleCnt="0"/>
      <dgm:spPr/>
    </dgm:pt>
    <dgm:pt modelId="{6A259130-4455-44E0-969B-948D1249687E}" type="pres">
      <dgm:prSet presAssocID="{EACD17F5-D793-4A43-B489-D1804D50CFEF}" presName="Name37" presStyleLbl="parChTrans1D2" presStyleIdx="0" presStyleCnt="3"/>
      <dgm:spPr/>
    </dgm:pt>
    <dgm:pt modelId="{D6C5C065-A308-417C-8ECC-04FC2BEC646C}" type="pres">
      <dgm:prSet presAssocID="{12714FC6-8B41-47E5-91DD-F02D34D23B93}" presName="hierRoot2" presStyleCnt="0">
        <dgm:presLayoutVars>
          <dgm:hierBranch val="init"/>
        </dgm:presLayoutVars>
      </dgm:prSet>
      <dgm:spPr/>
    </dgm:pt>
    <dgm:pt modelId="{E36491EF-5019-46FD-BC82-1BD579B9EE0E}" type="pres">
      <dgm:prSet presAssocID="{12714FC6-8B41-47E5-91DD-F02D34D23B93}" presName="rootComposite" presStyleCnt="0"/>
      <dgm:spPr/>
    </dgm:pt>
    <dgm:pt modelId="{43B7C837-49D6-40CE-BBAB-953D9E4BA7ED}" type="pres">
      <dgm:prSet presAssocID="{12714FC6-8B41-47E5-91DD-F02D34D23B93}" presName="rootText" presStyleLbl="node2" presStyleIdx="0" presStyleCnt="3">
        <dgm:presLayoutVars>
          <dgm:chPref val="3"/>
        </dgm:presLayoutVars>
      </dgm:prSet>
      <dgm:spPr/>
    </dgm:pt>
    <dgm:pt modelId="{9A037140-9B69-4B9F-A134-F2F2EB0F2E32}" type="pres">
      <dgm:prSet presAssocID="{12714FC6-8B41-47E5-91DD-F02D34D23B93}" presName="rootConnector" presStyleCnt="0"/>
      <dgm:spPr/>
    </dgm:pt>
    <dgm:pt modelId="{FA37AA5D-87C2-47F6-9B72-B753C073E744}" type="pres">
      <dgm:prSet presAssocID="{12714FC6-8B41-47E5-91DD-F02D34D23B93}" presName="hierChild4" presStyleCnt="0"/>
      <dgm:spPr/>
    </dgm:pt>
    <dgm:pt modelId="{A7309641-2A58-41EA-9E42-56812CF298ED}" type="pres">
      <dgm:prSet presAssocID="{12714FC6-8B41-47E5-91DD-F02D34D23B93}" presName="hierChild5" presStyleCnt="0"/>
      <dgm:spPr/>
    </dgm:pt>
    <dgm:pt modelId="{33C1C21C-FB3E-4089-A9D2-9D496A416FC6}" type="pres">
      <dgm:prSet presAssocID="{64263A4D-19A7-48EE-B7CB-FFC91911AE4B}" presName="Name111" presStyleLbl="parChTrans1D3" presStyleIdx="0" presStyleCnt="6"/>
      <dgm:spPr/>
    </dgm:pt>
    <dgm:pt modelId="{D7A70399-BF59-4E84-B023-D45DB6B4EF70}" type="pres">
      <dgm:prSet presAssocID="{1D2C48AF-E981-4279-B7FE-F8D2D170C667}" presName="hierRoot3" presStyleCnt="0">
        <dgm:presLayoutVars>
          <dgm:hierBranch val="init"/>
        </dgm:presLayoutVars>
      </dgm:prSet>
      <dgm:spPr/>
    </dgm:pt>
    <dgm:pt modelId="{6CC4BDCF-85E1-40B1-8DE3-604C87BB78AB}" type="pres">
      <dgm:prSet presAssocID="{1D2C48AF-E981-4279-B7FE-F8D2D170C667}" presName="rootComposite3" presStyleCnt="0"/>
      <dgm:spPr/>
    </dgm:pt>
    <dgm:pt modelId="{292716C1-AA35-490F-92E0-4D5D47962DB2}" type="pres">
      <dgm:prSet presAssocID="{1D2C48AF-E981-4279-B7FE-F8D2D170C667}" presName="rootText3" presStyleLbl="asst2" presStyleIdx="0" presStyleCnt="6">
        <dgm:presLayoutVars>
          <dgm:chPref val="3"/>
        </dgm:presLayoutVars>
      </dgm:prSet>
      <dgm:spPr/>
    </dgm:pt>
    <dgm:pt modelId="{178352A5-A464-459F-A45D-F3A2928A0213}" type="pres">
      <dgm:prSet presAssocID="{1D2C48AF-E981-4279-B7FE-F8D2D170C667}" presName="rootConnector3" presStyleCnt="0"/>
      <dgm:spPr/>
    </dgm:pt>
    <dgm:pt modelId="{06CA6FB4-0943-4F5F-A24E-369FA1A379C1}" type="pres">
      <dgm:prSet presAssocID="{1D2C48AF-E981-4279-B7FE-F8D2D170C667}" presName="hierChild6" presStyleCnt="0"/>
      <dgm:spPr/>
    </dgm:pt>
    <dgm:pt modelId="{CC5A947D-7B80-45B6-8A39-642F3105FC49}" type="pres">
      <dgm:prSet presAssocID="{1D2C48AF-E981-4279-B7FE-F8D2D170C667}" presName="hierChild7" presStyleCnt="0"/>
      <dgm:spPr/>
    </dgm:pt>
    <dgm:pt modelId="{8113A052-727C-444C-AAC2-76DF66BA76BD}" type="pres">
      <dgm:prSet presAssocID="{775DD5DA-1141-4B52-97C7-C76FCDC5D11A}" presName="Name111" presStyleLbl="parChTrans1D3" presStyleIdx="1" presStyleCnt="6"/>
      <dgm:spPr/>
    </dgm:pt>
    <dgm:pt modelId="{1FCD03E3-CAA8-4520-A5C3-A20AB8057A2A}" type="pres">
      <dgm:prSet presAssocID="{3A66AACB-CA4A-4F2B-A1FC-C427053CFB9E}" presName="hierRoot3" presStyleCnt="0">
        <dgm:presLayoutVars>
          <dgm:hierBranch val="init"/>
        </dgm:presLayoutVars>
      </dgm:prSet>
      <dgm:spPr/>
    </dgm:pt>
    <dgm:pt modelId="{F5907EF5-8EA5-4FF6-8AEC-FDB4A991859C}" type="pres">
      <dgm:prSet presAssocID="{3A66AACB-CA4A-4F2B-A1FC-C427053CFB9E}" presName="rootComposite3" presStyleCnt="0"/>
      <dgm:spPr/>
    </dgm:pt>
    <dgm:pt modelId="{1E0D08E7-4B9B-416F-9E96-F9CF43782550}" type="pres">
      <dgm:prSet presAssocID="{3A66AACB-CA4A-4F2B-A1FC-C427053CFB9E}" presName="rootText3" presStyleLbl="asst2" presStyleIdx="1" presStyleCnt="6">
        <dgm:presLayoutVars>
          <dgm:chPref val="3"/>
        </dgm:presLayoutVars>
      </dgm:prSet>
      <dgm:spPr/>
    </dgm:pt>
    <dgm:pt modelId="{0AB76D49-6AC2-426F-9C09-A4CB22ACBCAF}" type="pres">
      <dgm:prSet presAssocID="{3A66AACB-CA4A-4F2B-A1FC-C427053CFB9E}" presName="rootConnector3" presStyleCnt="0"/>
      <dgm:spPr/>
    </dgm:pt>
    <dgm:pt modelId="{FA248834-775C-43F7-8BD9-6B0B7FDAC486}" type="pres">
      <dgm:prSet presAssocID="{3A66AACB-CA4A-4F2B-A1FC-C427053CFB9E}" presName="hierChild6" presStyleCnt="0"/>
      <dgm:spPr/>
    </dgm:pt>
    <dgm:pt modelId="{D93DE4DF-5765-483A-B49B-66A5245B3636}" type="pres">
      <dgm:prSet presAssocID="{3A66AACB-CA4A-4F2B-A1FC-C427053CFB9E}" presName="hierChild7" presStyleCnt="0"/>
      <dgm:spPr/>
    </dgm:pt>
    <dgm:pt modelId="{F492B679-3C8C-4E72-95A8-8B81298826E7}" type="pres">
      <dgm:prSet presAssocID="{8D5FB264-0A5C-4C3A-85B7-453D9BD837DF}" presName="Name37" presStyleLbl="parChTrans1D2" presStyleIdx="1" presStyleCnt="3"/>
      <dgm:spPr/>
    </dgm:pt>
    <dgm:pt modelId="{C6F584B9-7EA2-46D8-913B-8F508509ECAB}" type="pres">
      <dgm:prSet presAssocID="{4EC42421-831D-4CD3-8215-2AF4300F9C01}" presName="hierRoot2" presStyleCnt="0">
        <dgm:presLayoutVars>
          <dgm:hierBranch val="init"/>
        </dgm:presLayoutVars>
      </dgm:prSet>
      <dgm:spPr/>
    </dgm:pt>
    <dgm:pt modelId="{6CAD9CE6-86A1-4F7D-98A6-3AF53F55F9E3}" type="pres">
      <dgm:prSet presAssocID="{4EC42421-831D-4CD3-8215-2AF4300F9C01}" presName="rootComposite" presStyleCnt="0"/>
      <dgm:spPr/>
    </dgm:pt>
    <dgm:pt modelId="{08A0D1D2-3A20-4D63-8E35-B7C8B6B16D48}" type="pres">
      <dgm:prSet presAssocID="{4EC42421-831D-4CD3-8215-2AF4300F9C01}" presName="rootText" presStyleLbl="node2" presStyleIdx="1" presStyleCnt="3">
        <dgm:presLayoutVars>
          <dgm:chPref val="3"/>
        </dgm:presLayoutVars>
      </dgm:prSet>
      <dgm:spPr/>
    </dgm:pt>
    <dgm:pt modelId="{6238C53E-A961-488B-8FBD-6EC13507B069}" type="pres">
      <dgm:prSet presAssocID="{4EC42421-831D-4CD3-8215-2AF4300F9C01}" presName="rootConnector" presStyleCnt="0"/>
      <dgm:spPr/>
    </dgm:pt>
    <dgm:pt modelId="{A9C46FD3-3BE9-4E6E-BFF6-B0B42B13F857}" type="pres">
      <dgm:prSet presAssocID="{4EC42421-831D-4CD3-8215-2AF4300F9C01}" presName="hierChild4" presStyleCnt="0"/>
      <dgm:spPr/>
    </dgm:pt>
    <dgm:pt modelId="{A663BBFB-A120-4F5B-82EC-DB644DB9966B}" type="pres">
      <dgm:prSet presAssocID="{4EC42421-831D-4CD3-8215-2AF4300F9C01}" presName="hierChild5" presStyleCnt="0"/>
      <dgm:spPr/>
    </dgm:pt>
    <dgm:pt modelId="{1AE230D0-7C40-43FF-BE79-47339C4299E0}" type="pres">
      <dgm:prSet presAssocID="{2EA8CCF8-7FD0-4977-A0E2-C3EC1EEE3FAB}" presName="Name111" presStyleLbl="parChTrans1D3" presStyleIdx="2" presStyleCnt="6"/>
      <dgm:spPr/>
    </dgm:pt>
    <dgm:pt modelId="{1E2917E6-2B2F-44BC-824F-611862827EEB}" type="pres">
      <dgm:prSet presAssocID="{6BAA187D-14AF-44CA-B020-8D82489B362D}" presName="hierRoot3" presStyleCnt="0">
        <dgm:presLayoutVars>
          <dgm:hierBranch val="init"/>
        </dgm:presLayoutVars>
      </dgm:prSet>
      <dgm:spPr/>
    </dgm:pt>
    <dgm:pt modelId="{3647773B-5418-42DD-AA44-68A42760EAAA}" type="pres">
      <dgm:prSet presAssocID="{6BAA187D-14AF-44CA-B020-8D82489B362D}" presName="rootComposite3" presStyleCnt="0"/>
      <dgm:spPr/>
    </dgm:pt>
    <dgm:pt modelId="{6868CAF5-8D7B-407D-AEF9-715332186611}" type="pres">
      <dgm:prSet presAssocID="{6BAA187D-14AF-44CA-B020-8D82489B362D}" presName="rootText3" presStyleLbl="asst2" presStyleIdx="2" presStyleCnt="6">
        <dgm:presLayoutVars>
          <dgm:chPref val="3"/>
        </dgm:presLayoutVars>
      </dgm:prSet>
      <dgm:spPr/>
    </dgm:pt>
    <dgm:pt modelId="{45D298EB-0C9D-4049-A706-7BA8D4DA50E3}" type="pres">
      <dgm:prSet presAssocID="{6BAA187D-14AF-44CA-B020-8D82489B362D}" presName="rootConnector3" presStyleCnt="0"/>
      <dgm:spPr/>
    </dgm:pt>
    <dgm:pt modelId="{8F388E92-CC7C-4B14-81A2-AD611FEA36BF}" type="pres">
      <dgm:prSet presAssocID="{6BAA187D-14AF-44CA-B020-8D82489B362D}" presName="hierChild6" presStyleCnt="0"/>
      <dgm:spPr/>
    </dgm:pt>
    <dgm:pt modelId="{D5937F1C-14C0-40BB-BCA3-33739DFD8A70}" type="pres">
      <dgm:prSet presAssocID="{6BAA187D-14AF-44CA-B020-8D82489B362D}" presName="hierChild7" presStyleCnt="0"/>
      <dgm:spPr/>
    </dgm:pt>
    <dgm:pt modelId="{3FBDE7F5-3FD8-4461-A706-00DCD6959BC6}" type="pres">
      <dgm:prSet presAssocID="{9FE70CD7-CF8A-4055-8FA5-62E5CBEDE926}" presName="Name111" presStyleLbl="parChTrans1D3" presStyleIdx="3" presStyleCnt="6"/>
      <dgm:spPr/>
    </dgm:pt>
    <dgm:pt modelId="{AD87A410-7F97-428A-B79B-493FE88E1AAD}" type="pres">
      <dgm:prSet presAssocID="{9DEEF4B3-0E39-4A51-9D06-040C67FFB4C2}" presName="hierRoot3" presStyleCnt="0">
        <dgm:presLayoutVars>
          <dgm:hierBranch val="init"/>
        </dgm:presLayoutVars>
      </dgm:prSet>
      <dgm:spPr/>
    </dgm:pt>
    <dgm:pt modelId="{66D4D9E1-67C4-4E17-B727-6CF63606200A}" type="pres">
      <dgm:prSet presAssocID="{9DEEF4B3-0E39-4A51-9D06-040C67FFB4C2}" presName="rootComposite3" presStyleCnt="0"/>
      <dgm:spPr/>
    </dgm:pt>
    <dgm:pt modelId="{1CF0089F-7795-45B5-AC13-111578545181}" type="pres">
      <dgm:prSet presAssocID="{9DEEF4B3-0E39-4A51-9D06-040C67FFB4C2}" presName="rootText3" presStyleLbl="asst2" presStyleIdx="3" presStyleCnt="6">
        <dgm:presLayoutVars>
          <dgm:chPref val="3"/>
        </dgm:presLayoutVars>
      </dgm:prSet>
      <dgm:spPr/>
    </dgm:pt>
    <dgm:pt modelId="{3DB08E9E-2A4D-47C8-B1FC-AE083E830607}" type="pres">
      <dgm:prSet presAssocID="{9DEEF4B3-0E39-4A51-9D06-040C67FFB4C2}" presName="rootConnector3" presStyleCnt="0"/>
      <dgm:spPr/>
    </dgm:pt>
    <dgm:pt modelId="{AD8BB7BC-84AC-443A-9144-B5A8729B2419}" type="pres">
      <dgm:prSet presAssocID="{9DEEF4B3-0E39-4A51-9D06-040C67FFB4C2}" presName="hierChild6" presStyleCnt="0"/>
      <dgm:spPr/>
    </dgm:pt>
    <dgm:pt modelId="{C5BF9132-BE45-4630-B7F3-6EE8679AE3A8}" type="pres">
      <dgm:prSet presAssocID="{9DEEF4B3-0E39-4A51-9D06-040C67FFB4C2}" presName="hierChild7" presStyleCnt="0"/>
      <dgm:spPr/>
    </dgm:pt>
    <dgm:pt modelId="{AB3A8128-6C86-49B7-B5CC-0153888815E5}" type="pres">
      <dgm:prSet presAssocID="{CCF68ADE-40B6-47D0-93C1-88EC13ADC8AC}" presName="Name37" presStyleLbl="parChTrans1D2" presStyleIdx="2" presStyleCnt="3"/>
      <dgm:spPr/>
    </dgm:pt>
    <dgm:pt modelId="{1A917F9A-DDE6-4568-B35C-7FABCEF0A586}" type="pres">
      <dgm:prSet presAssocID="{CF717C8A-B40B-4AFF-BF49-65ABB7DF8190}" presName="hierRoot2" presStyleCnt="0">
        <dgm:presLayoutVars>
          <dgm:hierBranch val="init"/>
        </dgm:presLayoutVars>
      </dgm:prSet>
      <dgm:spPr/>
    </dgm:pt>
    <dgm:pt modelId="{FA949B67-3DB7-47FA-97C9-4A653E762F22}" type="pres">
      <dgm:prSet presAssocID="{CF717C8A-B40B-4AFF-BF49-65ABB7DF8190}" presName="rootComposite" presStyleCnt="0"/>
      <dgm:spPr/>
    </dgm:pt>
    <dgm:pt modelId="{7D64F4A3-0E55-47AC-A59B-9D5A9DC25552}" type="pres">
      <dgm:prSet presAssocID="{CF717C8A-B40B-4AFF-BF49-65ABB7DF8190}" presName="rootText" presStyleLbl="node2" presStyleIdx="2" presStyleCnt="3">
        <dgm:presLayoutVars>
          <dgm:chPref val="3"/>
        </dgm:presLayoutVars>
      </dgm:prSet>
      <dgm:spPr/>
    </dgm:pt>
    <dgm:pt modelId="{5667CB49-EC34-46BC-AD2D-72F3BD95D049}" type="pres">
      <dgm:prSet presAssocID="{CF717C8A-B40B-4AFF-BF49-65ABB7DF8190}" presName="rootConnector" presStyleCnt="0"/>
      <dgm:spPr/>
    </dgm:pt>
    <dgm:pt modelId="{EB3A10DA-2FA4-4DAD-8341-8078D7F83716}" type="pres">
      <dgm:prSet presAssocID="{CF717C8A-B40B-4AFF-BF49-65ABB7DF8190}" presName="hierChild4" presStyleCnt="0"/>
      <dgm:spPr/>
    </dgm:pt>
    <dgm:pt modelId="{B05C5608-85C8-433E-A928-1755312B673B}" type="pres">
      <dgm:prSet presAssocID="{CF717C8A-B40B-4AFF-BF49-65ABB7DF8190}" presName="hierChild5" presStyleCnt="0"/>
      <dgm:spPr/>
    </dgm:pt>
    <dgm:pt modelId="{DCEBBB66-2B10-4A23-916C-DE76A9DBA9E2}" type="pres">
      <dgm:prSet presAssocID="{205CB134-D785-40C6-B75E-D1D2ECAB5FAC}" presName="Name111" presStyleLbl="parChTrans1D3" presStyleIdx="4" presStyleCnt="6"/>
      <dgm:spPr/>
    </dgm:pt>
    <dgm:pt modelId="{EECB9606-C0D6-49CB-BDFB-F1D68CAED591}" type="pres">
      <dgm:prSet presAssocID="{267D8B74-9A15-410A-9FF2-2ED3CA309B6D}" presName="hierRoot3" presStyleCnt="0">
        <dgm:presLayoutVars>
          <dgm:hierBranch val="init"/>
        </dgm:presLayoutVars>
      </dgm:prSet>
      <dgm:spPr/>
    </dgm:pt>
    <dgm:pt modelId="{AC6FAC1B-6665-45B0-B0E0-8A663931A0A5}" type="pres">
      <dgm:prSet presAssocID="{267D8B74-9A15-410A-9FF2-2ED3CA309B6D}" presName="rootComposite3" presStyleCnt="0"/>
      <dgm:spPr/>
    </dgm:pt>
    <dgm:pt modelId="{507B7334-DA23-4240-97BA-88E6D25819C9}" type="pres">
      <dgm:prSet presAssocID="{267D8B74-9A15-410A-9FF2-2ED3CA309B6D}" presName="rootText3" presStyleLbl="asst2" presStyleIdx="4" presStyleCnt="6">
        <dgm:presLayoutVars>
          <dgm:chPref val="3"/>
        </dgm:presLayoutVars>
      </dgm:prSet>
      <dgm:spPr/>
    </dgm:pt>
    <dgm:pt modelId="{FA2681C0-5B00-4052-B360-F962AB687F9F}" type="pres">
      <dgm:prSet presAssocID="{267D8B74-9A15-410A-9FF2-2ED3CA309B6D}" presName="rootConnector3" presStyleCnt="0"/>
      <dgm:spPr/>
    </dgm:pt>
    <dgm:pt modelId="{284776D9-291B-432D-9917-508BFE57F747}" type="pres">
      <dgm:prSet presAssocID="{267D8B74-9A15-410A-9FF2-2ED3CA309B6D}" presName="hierChild6" presStyleCnt="0"/>
      <dgm:spPr/>
    </dgm:pt>
    <dgm:pt modelId="{2F59A980-ADDA-4296-8C16-C18E15705947}" type="pres">
      <dgm:prSet presAssocID="{267D8B74-9A15-410A-9FF2-2ED3CA309B6D}" presName="hierChild7" presStyleCnt="0"/>
      <dgm:spPr/>
    </dgm:pt>
    <dgm:pt modelId="{8FBCFC2B-9FC1-46ED-9D8B-1BAF9E10817D}" type="pres">
      <dgm:prSet presAssocID="{801F2C34-6928-41C3-BB75-EA93B0F45BB2}" presName="Name111" presStyleLbl="parChTrans1D3" presStyleIdx="5" presStyleCnt="6"/>
      <dgm:spPr/>
    </dgm:pt>
    <dgm:pt modelId="{3CD9A474-13D5-4B38-B0E2-822237D1327B}" type="pres">
      <dgm:prSet presAssocID="{4D9BD77A-66B7-453F-A92A-A2A5560A19CB}" presName="hierRoot3" presStyleCnt="0">
        <dgm:presLayoutVars>
          <dgm:hierBranch val="init"/>
        </dgm:presLayoutVars>
      </dgm:prSet>
      <dgm:spPr/>
    </dgm:pt>
    <dgm:pt modelId="{7A6E1408-1887-42AD-9A8C-084B8DF1E6E8}" type="pres">
      <dgm:prSet presAssocID="{4D9BD77A-66B7-453F-A92A-A2A5560A19CB}" presName="rootComposite3" presStyleCnt="0"/>
      <dgm:spPr/>
    </dgm:pt>
    <dgm:pt modelId="{1D358573-A0AE-4458-98BD-CFEA8B93E371}" type="pres">
      <dgm:prSet presAssocID="{4D9BD77A-66B7-453F-A92A-A2A5560A19CB}" presName="rootText3" presStyleLbl="asst2" presStyleIdx="5" presStyleCnt="6">
        <dgm:presLayoutVars>
          <dgm:chPref val="3"/>
        </dgm:presLayoutVars>
      </dgm:prSet>
      <dgm:spPr/>
    </dgm:pt>
    <dgm:pt modelId="{97E6A7C8-907F-4600-95FD-0ACE05584379}" type="pres">
      <dgm:prSet presAssocID="{4D9BD77A-66B7-453F-A92A-A2A5560A19CB}" presName="rootConnector3" presStyleCnt="0"/>
      <dgm:spPr/>
    </dgm:pt>
    <dgm:pt modelId="{3B3E3E35-F693-4594-A57E-F52EF95D2D06}" type="pres">
      <dgm:prSet presAssocID="{4D9BD77A-66B7-453F-A92A-A2A5560A19CB}" presName="hierChild6" presStyleCnt="0"/>
      <dgm:spPr/>
    </dgm:pt>
    <dgm:pt modelId="{59A1AAB2-E5A8-4155-8B4A-AD61B70833BF}" type="pres">
      <dgm:prSet presAssocID="{4D9BD77A-66B7-453F-A92A-A2A5560A19CB}" presName="hierChild7" presStyleCnt="0"/>
      <dgm:spPr/>
    </dgm:pt>
    <dgm:pt modelId="{0E819307-1B4E-434E-BA76-D5A4192B0663}" type="pres">
      <dgm:prSet presAssocID="{47C757F0-AA23-46BE-9311-EA432CDEEAA1}" presName="hierChild3" presStyleCnt="0"/>
      <dgm:spPr/>
    </dgm:pt>
  </dgm:ptLst>
  <dgm:cxnLst>
    <dgm:cxn modelId="{5B67DD30-77BD-4CBB-9789-B3295D6B716C}" srcId="{A77D31B3-3808-4FBA-8FA4-CC8D448A173E}" destId="{47C757F0-AA23-46BE-9311-EA432CDEEAA1}" srcOrd="0" destOrd="0" parTransId="{AB39B06D-FE6C-48B2-B5B4-77CD0C8CF7AD}" sibTransId="{DF0D1C21-B79E-4875-B7FA-EF183CB48B88}"/>
    <dgm:cxn modelId="{E4A04B66-F7D8-4551-A6C1-4446994EABA3}" srcId="{47C757F0-AA23-46BE-9311-EA432CDEEAA1}" destId="{12714FC6-8B41-47E5-91DD-F02D34D23B93}" srcOrd="0" destOrd="0" parTransId="{EACD17F5-D793-4A43-B489-D1804D50CFEF}" sibTransId="{FA45D93F-0724-4936-AA45-E6762732A19D}"/>
    <dgm:cxn modelId="{9544905D-6730-40DE-9C1E-7F126698A8FA}" srcId="{12714FC6-8B41-47E5-91DD-F02D34D23B93}" destId="{1D2C48AF-E981-4279-B7FE-F8D2D170C667}" srcOrd="0" destOrd="0" parTransId="{64263A4D-19A7-48EE-B7CB-FFC91911AE4B}" sibTransId="{1C387922-B2DB-437C-B7C6-55DCB68C4179}"/>
    <dgm:cxn modelId="{10BEA9B7-B833-4A99-B261-29899975E100}" srcId="{12714FC6-8B41-47E5-91DD-F02D34D23B93}" destId="{3A66AACB-CA4A-4F2B-A1FC-C427053CFB9E}" srcOrd="1" destOrd="0" parTransId="{775DD5DA-1141-4B52-97C7-C76FCDC5D11A}" sibTransId="{084923D3-C7AC-40B8-8B13-ECF44F420646}"/>
    <dgm:cxn modelId="{04E29584-CC73-4090-A221-2A6C7C08C916}" srcId="{47C757F0-AA23-46BE-9311-EA432CDEEAA1}" destId="{4EC42421-831D-4CD3-8215-2AF4300F9C01}" srcOrd="1" destOrd="0" parTransId="{8D5FB264-0A5C-4C3A-85B7-453D9BD837DF}" sibTransId="{A1825131-D805-48C8-BFCE-E45C02E6F5CE}"/>
    <dgm:cxn modelId="{1831A8F4-00C0-4276-9635-7F81DCE97798}" srcId="{4EC42421-831D-4CD3-8215-2AF4300F9C01}" destId="{6BAA187D-14AF-44CA-B020-8D82489B362D}" srcOrd="0" destOrd="1" parTransId="{2EA8CCF8-7FD0-4977-A0E2-C3EC1EEE3FAB}" sibTransId="{2032FC23-8CFA-4FC3-80F5-79A3FDFB597A}"/>
    <dgm:cxn modelId="{AEF6BB5C-A157-4C11-A484-D1A118E74522}" srcId="{4EC42421-831D-4CD3-8215-2AF4300F9C01}" destId="{9DEEF4B3-0E39-4A51-9D06-040C67FFB4C2}" srcOrd="1" destOrd="1" parTransId="{9FE70CD7-CF8A-4055-8FA5-62E5CBEDE926}" sibTransId="{A1B9D069-1165-4F23-BC49-C918284E8A7A}"/>
    <dgm:cxn modelId="{F6E607E5-B288-40B2-BE07-802FDC7F7266}" srcId="{47C757F0-AA23-46BE-9311-EA432CDEEAA1}" destId="{CF717C8A-B40B-4AFF-BF49-65ABB7DF8190}" srcOrd="2" destOrd="0" parTransId="{CCF68ADE-40B6-47D0-93C1-88EC13ADC8AC}" sibTransId="{630D3E0B-D1D7-4E1A-8193-515AA5E1866F}"/>
    <dgm:cxn modelId="{739675EB-0CEA-4D87-9D43-9D886556570A}" srcId="{CF717C8A-B40B-4AFF-BF49-65ABB7DF8190}" destId="{267D8B74-9A15-410A-9FF2-2ED3CA309B6D}" srcOrd="0" destOrd="2" parTransId="{205CB134-D785-40C6-B75E-D1D2ECAB5FAC}" sibTransId="{402FC049-6EAD-4358-80A4-7D977084E9FC}"/>
    <dgm:cxn modelId="{346EEEE1-B40F-4C5A-A861-49BFE0404B49}" srcId="{CF717C8A-B40B-4AFF-BF49-65ABB7DF8190}" destId="{4D9BD77A-66B7-453F-A92A-A2A5560A19CB}" srcOrd="1" destOrd="2" parTransId="{801F2C34-6928-41C3-BB75-EA93B0F45BB2}" sibTransId="{B2E2BDAD-2657-450B-9931-825E573FEDE3}"/>
    <dgm:cxn modelId="{BB167B81-43C4-4CBF-94E9-F65CDB4DA334}" type="presOf" srcId="{A77D31B3-3808-4FBA-8FA4-CC8D448A173E}" destId="{E498DC9C-C5AC-4482-A26F-3B99DC5D79F0}" srcOrd="0" destOrd="0" presId="urn:microsoft.com/office/officeart/2005/8/layout/orgChart1"/>
    <dgm:cxn modelId="{FEA166D5-39E2-4EA3-9129-E10025EC0BC4}" type="presParOf" srcId="{E498DC9C-C5AC-4482-A26F-3B99DC5D79F0}" destId="{F728C3E8-5128-4BB6-90CC-A86769ECE335}" srcOrd="0" destOrd="0" presId="urn:microsoft.com/office/officeart/2005/8/layout/orgChart1"/>
    <dgm:cxn modelId="{898CB977-D7FC-4D69-9026-4CB201B3EA38}" type="presParOf" srcId="{F728C3E8-5128-4BB6-90CC-A86769ECE335}" destId="{79147750-B6BF-43FD-83A0-7ACDC9B53EFF}" srcOrd="0" destOrd="0" presId="urn:microsoft.com/office/officeart/2005/8/layout/orgChart1"/>
    <dgm:cxn modelId="{0A33B754-4D1B-41A1-80B9-220DA94EA1B2}" type="presOf" srcId="{47C757F0-AA23-46BE-9311-EA432CDEEAA1}" destId="{79147750-B6BF-43FD-83A0-7ACDC9B53EFF}" srcOrd="0" destOrd="0" presId="urn:microsoft.com/office/officeart/2005/8/layout/orgChart1"/>
    <dgm:cxn modelId="{5B2F3DDA-E0F5-45F1-9566-86A20A6C7669}" type="presParOf" srcId="{79147750-B6BF-43FD-83A0-7ACDC9B53EFF}" destId="{AE79172D-D441-42BB-84EA-E3D989670DED}" srcOrd="0" destOrd="0" presId="urn:microsoft.com/office/officeart/2005/8/layout/orgChart1"/>
    <dgm:cxn modelId="{0889C9AC-2D30-4D98-B751-3D1C1C71C0A9}" type="presOf" srcId="{47C757F0-AA23-46BE-9311-EA432CDEEAA1}" destId="{AE79172D-D441-42BB-84EA-E3D989670DED}" srcOrd="0" destOrd="0" presId="urn:microsoft.com/office/officeart/2005/8/layout/orgChart1"/>
    <dgm:cxn modelId="{C93DCF8E-CBF2-4A5B-8064-1AC056655AC7}" type="presParOf" srcId="{79147750-B6BF-43FD-83A0-7ACDC9B53EFF}" destId="{86420519-308D-4A6A-8FEA-6FB2E39BA448}" srcOrd="1" destOrd="0" presId="urn:microsoft.com/office/officeart/2005/8/layout/orgChart1"/>
    <dgm:cxn modelId="{DC7EE169-2176-480E-89F2-B5E5BD292841}" type="presOf" srcId="{47C757F0-AA23-46BE-9311-EA432CDEEAA1}" destId="{86420519-308D-4A6A-8FEA-6FB2E39BA448}" srcOrd="0" destOrd="0" presId="urn:microsoft.com/office/officeart/2005/8/layout/orgChart1"/>
    <dgm:cxn modelId="{C40EF9D8-0D2E-4186-95D5-A96D1D12A1A3}" type="presParOf" srcId="{F728C3E8-5128-4BB6-90CC-A86769ECE335}" destId="{9A0FF10C-81C7-47CD-A320-768F2009480B}" srcOrd="1" destOrd="0" presId="urn:microsoft.com/office/officeart/2005/8/layout/orgChart1"/>
    <dgm:cxn modelId="{7BAA2A11-ADD9-45B2-A081-80A61DD0784F}" type="presParOf" srcId="{9A0FF10C-81C7-47CD-A320-768F2009480B}" destId="{6A259130-4455-44E0-969B-948D1249687E}" srcOrd="0" destOrd="1" presId="urn:microsoft.com/office/officeart/2005/8/layout/orgChart1"/>
    <dgm:cxn modelId="{0F59D5B7-99E3-47B7-AAAC-414CE789AB44}" type="presOf" srcId="{EACD17F5-D793-4A43-B489-D1804D50CFEF}" destId="{6A259130-4455-44E0-969B-948D1249687E}" srcOrd="0" destOrd="0" presId="urn:microsoft.com/office/officeart/2005/8/layout/orgChart1"/>
    <dgm:cxn modelId="{D72F01C5-AC51-4BB0-AE37-B0352DD777F3}" type="presParOf" srcId="{9A0FF10C-81C7-47CD-A320-768F2009480B}" destId="{D6C5C065-A308-417C-8ECC-04FC2BEC646C}" srcOrd="1" destOrd="1" presId="urn:microsoft.com/office/officeart/2005/8/layout/orgChart1"/>
    <dgm:cxn modelId="{31A52219-3D69-4532-BA0D-6BD6E41A18B3}" type="presParOf" srcId="{D6C5C065-A308-417C-8ECC-04FC2BEC646C}" destId="{E36491EF-5019-46FD-BC82-1BD579B9EE0E}" srcOrd="0" destOrd="1" presId="urn:microsoft.com/office/officeart/2005/8/layout/orgChart1"/>
    <dgm:cxn modelId="{9577433C-447E-4DB6-A9FA-1B418D4B3131}" type="presOf" srcId="{12714FC6-8B41-47E5-91DD-F02D34D23B93}" destId="{E36491EF-5019-46FD-BC82-1BD579B9EE0E}" srcOrd="0" destOrd="0" presId="urn:microsoft.com/office/officeart/2005/8/layout/orgChart1"/>
    <dgm:cxn modelId="{613B7171-EC59-4BBF-9DEE-DCACCAF7A415}" type="presParOf" srcId="{E36491EF-5019-46FD-BC82-1BD579B9EE0E}" destId="{43B7C837-49D6-40CE-BBAB-953D9E4BA7ED}" srcOrd="0" destOrd="0" presId="urn:microsoft.com/office/officeart/2005/8/layout/orgChart1"/>
    <dgm:cxn modelId="{464D25D1-464F-40DD-A65E-3371E38A7E9F}" type="presOf" srcId="{12714FC6-8B41-47E5-91DD-F02D34D23B93}" destId="{43B7C837-49D6-40CE-BBAB-953D9E4BA7ED}" srcOrd="0" destOrd="0" presId="urn:microsoft.com/office/officeart/2005/8/layout/orgChart1"/>
    <dgm:cxn modelId="{773545D2-4D84-4256-A155-3962A09858F8}" type="presParOf" srcId="{E36491EF-5019-46FD-BC82-1BD579B9EE0E}" destId="{9A037140-9B69-4B9F-A134-F2F2EB0F2E32}" srcOrd="1" destOrd="0" presId="urn:microsoft.com/office/officeart/2005/8/layout/orgChart1"/>
    <dgm:cxn modelId="{508B5E75-6445-4CBB-B7AD-340FB3B0C193}" type="presOf" srcId="{12714FC6-8B41-47E5-91DD-F02D34D23B93}" destId="{9A037140-9B69-4B9F-A134-F2F2EB0F2E32}" srcOrd="0" destOrd="0" presId="urn:microsoft.com/office/officeart/2005/8/layout/orgChart1"/>
    <dgm:cxn modelId="{5237271C-DEB4-4B72-B271-173E88BA2EC5}" type="presParOf" srcId="{D6C5C065-A308-417C-8ECC-04FC2BEC646C}" destId="{FA37AA5D-87C2-47F6-9B72-B753C073E744}" srcOrd="1" destOrd="1" presId="urn:microsoft.com/office/officeart/2005/8/layout/orgChart1"/>
    <dgm:cxn modelId="{89596988-9E7B-4F5C-8DEF-566A9729A95C}" type="presParOf" srcId="{D6C5C065-A308-417C-8ECC-04FC2BEC646C}" destId="{A7309641-2A58-41EA-9E42-56812CF298ED}" srcOrd="2" destOrd="1" presId="urn:microsoft.com/office/officeart/2005/8/layout/orgChart1"/>
    <dgm:cxn modelId="{BA83D4A5-BD7B-4C26-9E2C-E656F811D125}" type="presParOf" srcId="{A7309641-2A58-41EA-9E42-56812CF298ED}" destId="{33C1C21C-FB3E-4089-A9D2-9D496A416FC6}" srcOrd="0" destOrd="2" presId="urn:microsoft.com/office/officeart/2005/8/layout/orgChart1"/>
    <dgm:cxn modelId="{B048843C-BD1E-4C08-B216-0231C6AA83FD}" type="presOf" srcId="{64263A4D-19A7-48EE-B7CB-FFC91911AE4B}" destId="{33C1C21C-FB3E-4089-A9D2-9D496A416FC6}" srcOrd="0" destOrd="0" presId="urn:microsoft.com/office/officeart/2005/8/layout/orgChart1"/>
    <dgm:cxn modelId="{9CD5C6A2-CEE1-4138-887B-05F8FEF706F8}" type="presParOf" srcId="{A7309641-2A58-41EA-9E42-56812CF298ED}" destId="{D7A70399-BF59-4E84-B023-D45DB6B4EF70}" srcOrd="1" destOrd="2" presId="urn:microsoft.com/office/officeart/2005/8/layout/orgChart1"/>
    <dgm:cxn modelId="{E50B4DF1-A913-4808-8C70-CDCC84C5846F}" type="presParOf" srcId="{D7A70399-BF59-4E84-B023-D45DB6B4EF70}" destId="{6CC4BDCF-85E1-40B1-8DE3-604C87BB78AB}" srcOrd="0" destOrd="1" presId="urn:microsoft.com/office/officeart/2005/8/layout/orgChart1"/>
    <dgm:cxn modelId="{77EE39ED-8021-499F-A41B-3F5B304F8FA9}" type="presOf" srcId="{1D2C48AF-E981-4279-B7FE-F8D2D170C667}" destId="{6CC4BDCF-85E1-40B1-8DE3-604C87BB78AB}" srcOrd="0" destOrd="0" presId="urn:microsoft.com/office/officeart/2005/8/layout/orgChart1"/>
    <dgm:cxn modelId="{2FBEBA25-D76C-4986-9623-D7B8FCC1B50B}" type="presParOf" srcId="{6CC4BDCF-85E1-40B1-8DE3-604C87BB78AB}" destId="{292716C1-AA35-490F-92E0-4D5D47962DB2}" srcOrd="0" destOrd="0" presId="urn:microsoft.com/office/officeart/2005/8/layout/orgChart1"/>
    <dgm:cxn modelId="{721B5C0E-FCFE-4666-B1EE-BB7753D56E97}" type="presOf" srcId="{1D2C48AF-E981-4279-B7FE-F8D2D170C667}" destId="{292716C1-AA35-490F-92E0-4D5D47962DB2}" srcOrd="0" destOrd="0" presId="urn:microsoft.com/office/officeart/2005/8/layout/orgChart1"/>
    <dgm:cxn modelId="{0AC1133E-A2F2-4E15-9AFC-EF73189A3969}" type="presParOf" srcId="{6CC4BDCF-85E1-40B1-8DE3-604C87BB78AB}" destId="{178352A5-A464-459F-A45D-F3A2928A0213}" srcOrd="1" destOrd="0" presId="urn:microsoft.com/office/officeart/2005/8/layout/orgChart1"/>
    <dgm:cxn modelId="{51AAF8B6-FDF6-4326-AE0B-0D44F3C055B3}" type="presOf" srcId="{1D2C48AF-E981-4279-B7FE-F8D2D170C667}" destId="{178352A5-A464-459F-A45D-F3A2928A0213}" srcOrd="0" destOrd="0" presId="urn:microsoft.com/office/officeart/2005/8/layout/orgChart1"/>
    <dgm:cxn modelId="{021425FF-4149-4612-A0E3-B3CCA2A45801}" type="presParOf" srcId="{D7A70399-BF59-4E84-B023-D45DB6B4EF70}" destId="{06CA6FB4-0943-4F5F-A24E-369FA1A379C1}" srcOrd="1" destOrd="1" presId="urn:microsoft.com/office/officeart/2005/8/layout/orgChart1"/>
    <dgm:cxn modelId="{890CBB2A-A93B-4691-B7F0-5BAD9600EB4C}" type="presParOf" srcId="{D7A70399-BF59-4E84-B023-D45DB6B4EF70}" destId="{CC5A947D-7B80-45B6-8A39-642F3105FC49}" srcOrd="2" destOrd="1" presId="urn:microsoft.com/office/officeart/2005/8/layout/orgChart1"/>
    <dgm:cxn modelId="{52B2815A-A932-43E3-847B-6DA93773A9C6}" type="presParOf" srcId="{A7309641-2A58-41EA-9E42-56812CF298ED}" destId="{8113A052-727C-444C-AAC2-76DF66BA76BD}" srcOrd="2" destOrd="2" presId="urn:microsoft.com/office/officeart/2005/8/layout/orgChart1"/>
    <dgm:cxn modelId="{F74E2E2F-989C-41CD-9585-2FE0A63382A4}" type="presOf" srcId="{775DD5DA-1141-4B52-97C7-C76FCDC5D11A}" destId="{8113A052-727C-444C-AAC2-76DF66BA76BD}" srcOrd="0" destOrd="0" presId="urn:microsoft.com/office/officeart/2005/8/layout/orgChart1"/>
    <dgm:cxn modelId="{72ABEE4C-A7B8-4E77-B075-ADE4D609C6A6}" type="presParOf" srcId="{A7309641-2A58-41EA-9E42-56812CF298ED}" destId="{1FCD03E3-CAA8-4520-A5C3-A20AB8057A2A}" srcOrd="3" destOrd="2" presId="urn:microsoft.com/office/officeart/2005/8/layout/orgChart1"/>
    <dgm:cxn modelId="{A4EB47B9-B894-4D4B-BE0E-C387CAF47ED1}" type="presParOf" srcId="{1FCD03E3-CAA8-4520-A5C3-A20AB8057A2A}" destId="{F5907EF5-8EA5-4FF6-8AEC-FDB4A991859C}" srcOrd="0" destOrd="3" presId="urn:microsoft.com/office/officeart/2005/8/layout/orgChart1"/>
    <dgm:cxn modelId="{1B572B44-0C9E-4DF5-9963-306E904761E1}" type="presOf" srcId="{3A66AACB-CA4A-4F2B-A1FC-C427053CFB9E}" destId="{F5907EF5-8EA5-4FF6-8AEC-FDB4A991859C}" srcOrd="0" destOrd="0" presId="urn:microsoft.com/office/officeart/2005/8/layout/orgChart1"/>
    <dgm:cxn modelId="{95A9650F-526B-482F-B722-758EEF350A45}" type="presParOf" srcId="{F5907EF5-8EA5-4FF6-8AEC-FDB4A991859C}" destId="{1E0D08E7-4B9B-416F-9E96-F9CF43782550}" srcOrd="0" destOrd="0" presId="urn:microsoft.com/office/officeart/2005/8/layout/orgChart1"/>
    <dgm:cxn modelId="{5248C01C-F799-4DB1-8512-F41838C7786A}" type="presOf" srcId="{3A66AACB-CA4A-4F2B-A1FC-C427053CFB9E}" destId="{1E0D08E7-4B9B-416F-9E96-F9CF43782550}" srcOrd="0" destOrd="0" presId="urn:microsoft.com/office/officeart/2005/8/layout/orgChart1"/>
    <dgm:cxn modelId="{B0BA3F96-05B9-414D-9D42-84296716DEFC}" type="presParOf" srcId="{F5907EF5-8EA5-4FF6-8AEC-FDB4A991859C}" destId="{0AB76D49-6AC2-426F-9C09-A4CB22ACBCAF}" srcOrd="1" destOrd="0" presId="urn:microsoft.com/office/officeart/2005/8/layout/orgChart1"/>
    <dgm:cxn modelId="{5923666E-B00A-4A8F-A8D1-E97243AC518A}" type="presOf" srcId="{3A66AACB-CA4A-4F2B-A1FC-C427053CFB9E}" destId="{0AB76D49-6AC2-426F-9C09-A4CB22ACBCAF}" srcOrd="0" destOrd="0" presId="urn:microsoft.com/office/officeart/2005/8/layout/orgChart1"/>
    <dgm:cxn modelId="{1C6F1C8C-29AC-4DDB-A876-649393B1A966}" type="presParOf" srcId="{1FCD03E3-CAA8-4520-A5C3-A20AB8057A2A}" destId="{FA248834-775C-43F7-8BD9-6B0B7FDAC486}" srcOrd="1" destOrd="3" presId="urn:microsoft.com/office/officeart/2005/8/layout/orgChart1"/>
    <dgm:cxn modelId="{5757673B-6CAE-470F-9368-83D1D2D392E3}" type="presParOf" srcId="{1FCD03E3-CAA8-4520-A5C3-A20AB8057A2A}" destId="{D93DE4DF-5765-483A-B49B-66A5245B3636}" srcOrd="2" destOrd="3" presId="urn:microsoft.com/office/officeart/2005/8/layout/orgChart1"/>
    <dgm:cxn modelId="{3EED72B1-F44C-47D9-814F-EA6F75E286E8}" type="presParOf" srcId="{9A0FF10C-81C7-47CD-A320-768F2009480B}" destId="{F492B679-3C8C-4E72-95A8-8B81298826E7}" srcOrd="2" destOrd="1" presId="urn:microsoft.com/office/officeart/2005/8/layout/orgChart1"/>
    <dgm:cxn modelId="{20DFBC53-C73D-4323-950F-0D4D7CD9C1FA}" type="presOf" srcId="{8D5FB264-0A5C-4C3A-85B7-453D9BD837DF}" destId="{F492B679-3C8C-4E72-95A8-8B81298826E7}" srcOrd="0" destOrd="0" presId="urn:microsoft.com/office/officeart/2005/8/layout/orgChart1"/>
    <dgm:cxn modelId="{6B890DAB-02D3-4046-95BD-20D75117910A}" type="presParOf" srcId="{9A0FF10C-81C7-47CD-A320-768F2009480B}" destId="{C6F584B9-7EA2-46D8-913B-8F508509ECAB}" srcOrd="3" destOrd="1" presId="urn:microsoft.com/office/officeart/2005/8/layout/orgChart1"/>
    <dgm:cxn modelId="{1B9B15FB-BC26-49B1-B4D0-6B381542F3C5}" type="presParOf" srcId="{C6F584B9-7EA2-46D8-913B-8F508509ECAB}" destId="{6CAD9CE6-86A1-4F7D-98A6-3AF53F55F9E3}" srcOrd="0" destOrd="3" presId="urn:microsoft.com/office/officeart/2005/8/layout/orgChart1"/>
    <dgm:cxn modelId="{4B2FF51B-2D9D-4306-A2E9-18E700EB1B6C}" type="presOf" srcId="{4EC42421-831D-4CD3-8215-2AF4300F9C01}" destId="{6CAD9CE6-86A1-4F7D-98A6-3AF53F55F9E3}" srcOrd="0" destOrd="0" presId="urn:microsoft.com/office/officeart/2005/8/layout/orgChart1"/>
    <dgm:cxn modelId="{1AC32D11-9D41-42EE-B54A-99C5CCF0377E}" type="presParOf" srcId="{6CAD9CE6-86A1-4F7D-98A6-3AF53F55F9E3}" destId="{08A0D1D2-3A20-4D63-8E35-B7C8B6B16D48}" srcOrd="0" destOrd="0" presId="urn:microsoft.com/office/officeart/2005/8/layout/orgChart1"/>
    <dgm:cxn modelId="{D280B8DF-0CB8-4F3E-B796-F9ACD06D01CF}" type="presOf" srcId="{4EC42421-831D-4CD3-8215-2AF4300F9C01}" destId="{08A0D1D2-3A20-4D63-8E35-B7C8B6B16D48}" srcOrd="0" destOrd="0" presId="urn:microsoft.com/office/officeart/2005/8/layout/orgChart1"/>
    <dgm:cxn modelId="{79DF4242-D208-4AC3-BAA1-604364A5E51A}" type="presParOf" srcId="{6CAD9CE6-86A1-4F7D-98A6-3AF53F55F9E3}" destId="{6238C53E-A961-488B-8FBD-6EC13507B069}" srcOrd="1" destOrd="0" presId="urn:microsoft.com/office/officeart/2005/8/layout/orgChart1"/>
    <dgm:cxn modelId="{754DF4B8-123C-4F0D-A111-EAC754BC17C6}" type="presOf" srcId="{4EC42421-831D-4CD3-8215-2AF4300F9C01}" destId="{6238C53E-A961-488B-8FBD-6EC13507B069}" srcOrd="0" destOrd="0" presId="urn:microsoft.com/office/officeart/2005/8/layout/orgChart1"/>
    <dgm:cxn modelId="{6DCEF211-4E1D-4DE0-AC31-1458987E8865}" type="presParOf" srcId="{C6F584B9-7EA2-46D8-913B-8F508509ECAB}" destId="{A9C46FD3-3BE9-4E6E-BFF6-B0B42B13F857}" srcOrd="1" destOrd="3" presId="urn:microsoft.com/office/officeart/2005/8/layout/orgChart1"/>
    <dgm:cxn modelId="{7239FA47-E461-4836-B4EA-3ABEAAC2753D}" type="presParOf" srcId="{C6F584B9-7EA2-46D8-913B-8F508509ECAB}" destId="{A663BBFB-A120-4F5B-82EC-DB644DB9966B}" srcOrd="2" destOrd="3" presId="urn:microsoft.com/office/officeart/2005/8/layout/orgChart1"/>
    <dgm:cxn modelId="{9434ADD1-3160-400E-9291-04FABECB9ED2}" type="presParOf" srcId="{A663BBFB-A120-4F5B-82EC-DB644DB9966B}" destId="{1AE230D0-7C40-43FF-BE79-47339C4299E0}" srcOrd="0" destOrd="2" presId="urn:microsoft.com/office/officeart/2005/8/layout/orgChart1"/>
    <dgm:cxn modelId="{5C0B64AA-A74B-401C-87A1-54F75045C956}" type="presOf" srcId="{2EA8CCF8-7FD0-4977-A0E2-C3EC1EEE3FAB}" destId="{1AE230D0-7C40-43FF-BE79-47339C4299E0}" srcOrd="0" destOrd="0" presId="urn:microsoft.com/office/officeart/2005/8/layout/orgChart1"/>
    <dgm:cxn modelId="{CD0FD459-A204-4622-9B26-AE6C24D0B176}" type="presParOf" srcId="{A663BBFB-A120-4F5B-82EC-DB644DB9966B}" destId="{1E2917E6-2B2F-44BC-824F-611862827EEB}" srcOrd="1" destOrd="2" presId="urn:microsoft.com/office/officeart/2005/8/layout/orgChart1"/>
    <dgm:cxn modelId="{E1B1EF52-1436-4941-B674-7EB691FAE6A8}" type="presParOf" srcId="{1E2917E6-2B2F-44BC-824F-611862827EEB}" destId="{3647773B-5418-42DD-AA44-68A42760EAAA}" srcOrd="0" destOrd="1" presId="urn:microsoft.com/office/officeart/2005/8/layout/orgChart1"/>
    <dgm:cxn modelId="{4C676EA1-3CCB-4F2F-A488-B800856F1D89}" type="presOf" srcId="{6BAA187D-14AF-44CA-B020-8D82489B362D}" destId="{3647773B-5418-42DD-AA44-68A42760EAAA}" srcOrd="0" destOrd="0" presId="urn:microsoft.com/office/officeart/2005/8/layout/orgChart1"/>
    <dgm:cxn modelId="{B7FC889E-8896-4FE4-8DC1-2084DEBFE144}" type="presParOf" srcId="{3647773B-5418-42DD-AA44-68A42760EAAA}" destId="{6868CAF5-8D7B-407D-AEF9-715332186611}" srcOrd="0" destOrd="0" presId="urn:microsoft.com/office/officeart/2005/8/layout/orgChart1"/>
    <dgm:cxn modelId="{2AA7D1FA-5ACA-437F-B5FE-896497E0E205}" type="presOf" srcId="{6BAA187D-14AF-44CA-B020-8D82489B362D}" destId="{6868CAF5-8D7B-407D-AEF9-715332186611}" srcOrd="0" destOrd="0" presId="urn:microsoft.com/office/officeart/2005/8/layout/orgChart1"/>
    <dgm:cxn modelId="{57CA830D-3AE2-476C-922D-62AFEF555909}" type="presParOf" srcId="{3647773B-5418-42DD-AA44-68A42760EAAA}" destId="{45D298EB-0C9D-4049-A706-7BA8D4DA50E3}" srcOrd="1" destOrd="0" presId="urn:microsoft.com/office/officeart/2005/8/layout/orgChart1"/>
    <dgm:cxn modelId="{34F72347-D1E6-4E5A-A395-9971F80267A3}" type="presOf" srcId="{6BAA187D-14AF-44CA-B020-8D82489B362D}" destId="{45D298EB-0C9D-4049-A706-7BA8D4DA50E3}" srcOrd="0" destOrd="0" presId="urn:microsoft.com/office/officeart/2005/8/layout/orgChart1"/>
    <dgm:cxn modelId="{AC0E5820-5392-4E81-8382-65BC67AAB046}" type="presParOf" srcId="{1E2917E6-2B2F-44BC-824F-611862827EEB}" destId="{8F388E92-CC7C-4B14-81A2-AD611FEA36BF}" srcOrd="1" destOrd="1" presId="urn:microsoft.com/office/officeart/2005/8/layout/orgChart1"/>
    <dgm:cxn modelId="{D1515022-65AE-430B-BA30-AB2E5A4D2041}" type="presParOf" srcId="{1E2917E6-2B2F-44BC-824F-611862827EEB}" destId="{D5937F1C-14C0-40BB-BCA3-33739DFD8A70}" srcOrd="2" destOrd="1" presId="urn:microsoft.com/office/officeart/2005/8/layout/orgChart1"/>
    <dgm:cxn modelId="{0AD93A0B-0571-44FE-87FB-4B6FDB5EA561}" type="presParOf" srcId="{A663BBFB-A120-4F5B-82EC-DB644DB9966B}" destId="{3FBDE7F5-3FD8-4461-A706-00DCD6959BC6}" srcOrd="2" destOrd="2" presId="urn:microsoft.com/office/officeart/2005/8/layout/orgChart1"/>
    <dgm:cxn modelId="{7264A3E8-7087-4D0D-BDDD-CA8FDDB40389}" type="presOf" srcId="{9FE70CD7-CF8A-4055-8FA5-62E5CBEDE926}" destId="{3FBDE7F5-3FD8-4461-A706-00DCD6959BC6}" srcOrd="0" destOrd="0" presId="urn:microsoft.com/office/officeart/2005/8/layout/orgChart1"/>
    <dgm:cxn modelId="{71D1703D-D944-4B91-A81E-574919DFF122}" type="presParOf" srcId="{A663BBFB-A120-4F5B-82EC-DB644DB9966B}" destId="{AD87A410-7F97-428A-B79B-493FE88E1AAD}" srcOrd="3" destOrd="2" presId="urn:microsoft.com/office/officeart/2005/8/layout/orgChart1"/>
    <dgm:cxn modelId="{2BB9770F-C91B-4767-B62B-17E3F65304CC}" type="presParOf" srcId="{AD87A410-7F97-428A-B79B-493FE88E1AAD}" destId="{66D4D9E1-67C4-4E17-B727-6CF63606200A}" srcOrd="0" destOrd="3" presId="urn:microsoft.com/office/officeart/2005/8/layout/orgChart1"/>
    <dgm:cxn modelId="{6CFBC190-25E9-41C9-82F8-D6A2DB1B6007}" type="presOf" srcId="{9DEEF4B3-0E39-4A51-9D06-040C67FFB4C2}" destId="{66D4D9E1-67C4-4E17-B727-6CF63606200A}" srcOrd="0" destOrd="0" presId="urn:microsoft.com/office/officeart/2005/8/layout/orgChart1"/>
    <dgm:cxn modelId="{46BDE70D-E783-4F06-848F-CEF7867EF45B}" type="presParOf" srcId="{66D4D9E1-67C4-4E17-B727-6CF63606200A}" destId="{1CF0089F-7795-45B5-AC13-111578545181}" srcOrd="0" destOrd="0" presId="urn:microsoft.com/office/officeart/2005/8/layout/orgChart1"/>
    <dgm:cxn modelId="{34C82151-DE4F-484E-BF67-BEFEBF010C59}" type="presOf" srcId="{9DEEF4B3-0E39-4A51-9D06-040C67FFB4C2}" destId="{1CF0089F-7795-45B5-AC13-111578545181}" srcOrd="0" destOrd="0" presId="urn:microsoft.com/office/officeart/2005/8/layout/orgChart1"/>
    <dgm:cxn modelId="{C83A9B59-4FBB-4469-BC06-F486CE536ED0}" type="presParOf" srcId="{66D4D9E1-67C4-4E17-B727-6CF63606200A}" destId="{3DB08E9E-2A4D-47C8-B1FC-AE083E830607}" srcOrd="1" destOrd="0" presId="urn:microsoft.com/office/officeart/2005/8/layout/orgChart1"/>
    <dgm:cxn modelId="{CE869F8B-CEC2-496F-968C-5B6E1384DB4C}" type="presOf" srcId="{9DEEF4B3-0E39-4A51-9D06-040C67FFB4C2}" destId="{3DB08E9E-2A4D-47C8-B1FC-AE083E830607}" srcOrd="0" destOrd="0" presId="urn:microsoft.com/office/officeart/2005/8/layout/orgChart1"/>
    <dgm:cxn modelId="{B8C41E8F-67C0-4380-840B-47C89218898A}" type="presParOf" srcId="{AD87A410-7F97-428A-B79B-493FE88E1AAD}" destId="{AD8BB7BC-84AC-443A-9144-B5A8729B2419}" srcOrd="1" destOrd="3" presId="urn:microsoft.com/office/officeart/2005/8/layout/orgChart1"/>
    <dgm:cxn modelId="{C85262A0-757E-4498-90B2-141455668FD4}" type="presParOf" srcId="{AD87A410-7F97-428A-B79B-493FE88E1AAD}" destId="{C5BF9132-BE45-4630-B7F3-6EE8679AE3A8}" srcOrd="2" destOrd="3" presId="urn:microsoft.com/office/officeart/2005/8/layout/orgChart1"/>
    <dgm:cxn modelId="{B7A8208E-2C9A-4610-ACCF-FA3574BFCB04}" type="presParOf" srcId="{9A0FF10C-81C7-47CD-A320-768F2009480B}" destId="{AB3A8128-6C86-49B7-B5CC-0153888815E5}" srcOrd="4" destOrd="1" presId="urn:microsoft.com/office/officeart/2005/8/layout/orgChart1"/>
    <dgm:cxn modelId="{D84B51FA-30E6-4FC8-BDB2-B1E20538112A}" type="presOf" srcId="{CCF68ADE-40B6-47D0-93C1-88EC13ADC8AC}" destId="{AB3A8128-6C86-49B7-B5CC-0153888815E5}" srcOrd="0" destOrd="0" presId="urn:microsoft.com/office/officeart/2005/8/layout/orgChart1"/>
    <dgm:cxn modelId="{55FC172D-3697-4C2A-B430-5339E1EB85D0}" type="presParOf" srcId="{9A0FF10C-81C7-47CD-A320-768F2009480B}" destId="{1A917F9A-DDE6-4568-B35C-7FABCEF0A586}" srcOrd="5" destOrd="1" presId="urn:microsoft.com/office/officeart/2005/8/layout/orgChart1"/>
    <dgm:cxn modelId="{00331005-1EFB-4028-953C-F3376238A049}" type="presParOf" srcId="{1A917F9A-DDE6-4568-B35C-7FABCEF0A586}" destId="{FA949B67-3DB7-47FA-97C9-4A653E762F22}" srcOrd="0" destOrd="5" presId="urn:microsoft.com/office/officeart/2005/8/layout/orgChart1"/>
    <dgm:cxn modelId="{03A07980-15DB-45B3-8EB2-E451CB947D58}" type="presOf" srcId="{CF717C8A-B40B-4AFF-BF49-65ABB7DF8190}" destId="{FA949B67-3DB7-47FA-97C9-4A653E762F22}" srcOrd="0" destOrd="0" presId="urn:microsoft.com/office/officeart/2005/8/layout/orgChart1"/>
    <dgm:cxn modelId="{DEB96312-4A05-46F1-A105-0A99D0E97577}" type="presParOf" srcId="{FA949B67-3DB7-47FA-97C9-4A653E762F22}" destId="{7D64F4A3-0E55-47AC-A59B-9D5A9DC25552}" srcOrd="0" destOrd="0" presId="urn:microsoft.com/office/officeart/2005/8/layout/orgChart1"/>
    <dgm:cxn modelId="{0233B030-E60B-4AE4-B787-09353E946326}" type="presOf" srcId="{CF717C8A-B40B-4AFF-BF49-65ABB7DF8190}" destId="{7D64F4A3-0E55-47AC-A59B-9D5A9DC25552}" srcOrd="0" destOrd="0" presId="urn:microsoft.com/office/officeart/2005/8/layout/orgChart1"/>
    <dgm:cxn modelId="{33D94EB6-321E-4EC4-8177-FFD1890FB9AC}" type="presParOf" srcId="{FA949B67-3DB7-47FA-97C9-4A653E762F22}" destId="{5667CB49-EC34-46BC-AD2D-72F3BD95D049}" srcOrd="1" destOrd="0" presId="urn:microsoft.com/office/officeart/2005/8/layout/orgChart1"/>
    <dgm:cxn modelId="{13267A8F-9956-4096-BF15-A1D651D46799}" type="presOf" srcId="{CF717C8A-B40B-4AFF-BF49-65ABB7DF8190}" destId="{5667CB49-EC34-46BC-AD2D-72F3BD95D049}" srcOrd="0" destOrd="0" presId="urn:microsoft.com/office/officeart/2005/8/layout/orgChart1"/>
    <dgm:cxn modelId="{2B5B6177-0706-481D-B99B-190C48F19CAA}" type="presParOf" srcId="{1A917F9A-DDE6-4568-B35C-7FABCEF0A586}" destId="{EB3A10DA-2FA4-4DAD-8341-8078D7F83716}" srcOrd="1" destOrd="5" presId="urn:microsoft.com/office/officeart/2005/8/layout/orgChart1"/>
    <dgm:cxn modelId="{A8ED9D9E-D15F-4E30-94A8-343530A80F2E}" type="presParOf" srcId="{1A917F9A-DDE6-4568-B35C-7FABCEF0A586}" destId="{B05C5608-85C8-433E-A928-1755312B673B}" srcOrd="2" destOrd="5" presId="urn:microsoft.com/office/officeart/2005/8/layout/orgChart1"/>
    <dgm:cxn modelId="{7AE3AC8D-88D7-4C4F-9B6F-7DC0B03296E2}" type="presParOf" srcId="{B05C5608-85C8-433E-A928-1755312B673B}" destId="{DCEBBB66-2B10-4A23-916C-DE76A9DBA9E2}" srcOrd="0" destOrd="2" presId="urn:microsoft.com/office/officeart/2005/8/layout/orgChart1"/>
    <dgm:cxn modelId="{085B6678-2AD8-4203-ABC8-228AA21A8544}" type="presOf" srcId="{205CB134-D785-40C6-B75E-D1D2ECAB5FAC}" destId="{DCEBBB66-2B10-4A23-916C-DE76A9DBA9E2}" srcOrd="0" destOrd="0" presId="urn:microsoft.com/office/officeart/2005/8/layout/orgChart1"/>
    <dgm:cxn modelId="{B7F8CE15-3DEC-4ADA-A421-6D0E90C23673}" type="presParOf" srcId="{B05C5608-85C8-433E-A928-1755312B673B}" destId="{EECB9606-C0D6-49CB-BDFB-F1D68CAED591}" srcOrd="1" destOrd="2" presId="urn:microsoft.com/office/officeart/2005/8/layout/orgChart1"/>
    <dgm:cxn modelId="{84110BC4-116E-446F-97B7-EBDD5C71BB47}" type="presParOf" srcId="{EECB9606-C0D6-49CB-BDFB-F1D68CAED591}" destId="{AC6FAC1B-6665-45B0-B0E0-8A663931A0A5}" srcOrd="0" destOrd="1" presId="urn:microsoft.com/office/officeart/2005/8/layout/orgChart1"/>
    <dgm:cxn modelId="{AD7F0FF3-52BD-446B-9B1F-03D9CCF49D66}" type="presOf" srcId="{267D8B74-9A15-410A-9FF2-2ED3CA309B6D}" destId="{AC6FAC1B-6665-45B0-B0E0-8A663931A0A5}" srcOrd="0" destOrd="0" presId="urn:microsoft.com/office/officeart/2005/8/layout/orgChart1"/>
    <dgm:cxn modelId="{85FC327F-8BD5-459A-B618-D166B84F2E08}" type="presParOf" srcId="{AC6FAC1B-6665-45B0-B0E0-8A663931A0A5}" destId="{507B7334-DA23-4240-97BA-88E6D25819C9}" srcOrd="0" destOrd="0" presId="urn:microsoft.com/office/officeart/2005/8/layout/orgChart1"/>
    <dgm:cxn modelId="{DBE34AFE-9BBA-4CF5-A97D-BDA550AA22A8}" type="presOf" srcId="{267D8B74-9A15-410A-9FF2-2ED3CA309B6D}" destId="{507B7334-DA23-4240-97BA-88E6D25819C9}" srcOrd="0" destOrd="0" presId="urn:microsoft.com/office/officeart/2005/8/layout/orgChart1"/>
    <dgm:cxn modelId="{A8E18AEF-86DA-4625-BF26-47084D7DDDDC}" type="presParOf" srcId="{AC6FAC1B-6665-45B0-B0E0-8A663931A0A5}" destId="{FA2681C0-5B00-4052-B360-F962AB687F9F}" srcOrd="1" destOrd="0" presId="urn:microsoft.com/office/officeart/2005/8/layout/orgChart1"/>
    <dgm:cxn modelId="{1F1F8977-4730-445D-BEDA-3D0588CFF198}" type="presOf" srcId="{267D8B74-9A15-410A-9FF2-2ED3CA309B6D}" destId="{FA2681C0-5B00-4052-B360-F962AB687F9F}" srcOrd="0" destOrd="0" presId="urn:microsoft.com/office/officeart/2005/8/layout/orgChart1"/>
    <dgm:cxn modelId="{88136727-F54E-4C0B-8ED2-10C1261E4E4E}" type="presParOf" srcId="{EECB9606-C0D6-49CB-BDFB-F1D68CAED591}" destId="{284776D9-291B-432D-9917-508BFE57F747}" srcOrd="1" destOrd="1" presId="urn:microsoft.com/office/officeart/2005/8/layout/orgChart1"/>
    <dgm:cxn modelId="{C6BC9B45-9BDA-48F5-A0D9-E1B6A9FBC94F}" type="presParOf" srcId="{EECB9606-C0D6-49CB-BDFB-F1D68CAED591}" destId="{2F59A980-ADDA-4296-8C16-C18E15705947}" srcOrd="2" destOrd="1" presId="urn:microsoft.com/office/officeart/2005/8/layout/orgChart1"/>
    <dgm:cxn modelId="{FA649426-35DE-4FDC-9D2F-31D914428DEF}" type="presParOf" srcId="{B05C5608-85C8-433E-A928-1755312B673B}" destId="{8FBCFC2B-9FC1-46ED-9D8B-1BAF9E10817D}" srcOrd="2" destOrd="2" presId="urn:microsoft.com/office/officeart/2005/8/layout/orgChart1"/>
    <dgm:cxn modelId="{38DB89A5-D121-4A30-AF43-8A2DCE07B3E3}" type="presOf" srcId="{801F2C34-6928-41C3-BB75-EA93B0F45BB2}" destId="{8FBCFC2B-9FC1-46ED-9D8B-1BAF9E10817D}" srcOrd="0" destOrd="0" presId="urn:microsoft.com/office/officeart/2005/8/layout/orgChart1"/>
    <dgm:cxn modelId="{46B2E2BC-03C7-4E12-8CB4-6A1E5D987EEA}" type="presParOf" srcId="{B05C5608-85C8-433E-A928-1755312B673B}" destId="{3CD9A474-13D5-4B38-B0E2-822237D1327B}" srcOrd="3" destOrd="2" presId="urn:microsoft.com/office/officeart/2005/8/layout/orgChart1"/>
    <dgm:cxn modelId="{E45F2195-7F44-4494-B00D-4BA25510A1C5}" type="presParOf" srcId="{3CD9A474-13D5-4B38-B0E2-822237D1327B}" destId="{7A6E1408-1887-42AD-9A8C-084B8DF1E6E8}" srcOrd="0" destOrd="3" presId="urn:microsoft.com/office/officeart/2005/8/layout/orgChart1"/>
    <dgm:cxn modelId="{772CCBA8-3427-4D31-97C2-D8F15052EBD5}" type="presOf" srcId="{4D9BD77A-66B7-453F-A92A-A2A5560A19CB}" destId="{7A6E1408-1887-42AD-9A8C-084B8DF1E6E8}" srcOrd="0" destOrd="0" presId="urn:microsoft.com/office/officeart/2005/8/layout/orgChart1"/>
    <dgm:cxn modelId="{1A8EB0CD-E904-4D3A-9764-9A43820213D7}" type="presParOf" srcId="{7A6E1408-1887-42AD-9A8C-084B8DF1E6E8}" destId="{1D358573-A0AE-4458-98BD-CFEA8B93E371}" srcOrd="0" destOrd="0" presId="urn:microsoft.com/office/officeart/2005/8/layout/orgChart1"/>
    <dgm:cxn modelId="{94AEF638-43DE-4F57-B858-8A3746561013}" type="presOf" srcId="{4D9BD77A-66B7-453F-A92A-A2A5560A19CB}" destId="{1D358573-A0AE-4458-98BD-CFEA8B93E371}" srcOrd="0" destOrd="0" presId="urn:microsoft.com/office/officeart/2005/8/layout/orgChart1"/>
    <dgm:cxn modelId="{036777F6-38A2-4510-AFEF-D36BB643725D}" type="presParOf" srcId="{7A6E1408-1887-42AD-9A8C-084B8DF1E6E8}" destId="{97E6A7C8-907F-4600-95FD-0ACE05584379}" srcOrd="1" destOrd="0" presId="urn:microsoft.com/office/officeart/2005/8/layout/orgChart1"/>
    <dgm:cxn modelId="{020995F9-A6CC-4063-9909-2C226C019F69}" type="presOf" srcId="{4D9BD77A-66B7-453F-A92A-A2A5560A19CB}" destId="{97E6A7C8-907F-4600-95FD-0ACE05584379}" srcOrd="0" destOrd="0" presId="urn:microsoft.com/office/officeart/2005/8/layout/orgChart1"/>
    <dgm:cxn modelId="{94E8772C-E683-4463-A0D6-346D55D84D89}" type="presParOf" srcId="{3CD9A474-13D5-4B38-B0E2-822237D1327B}" destId="{3B3E3E35-F693-4594-A57E-F52EF95D2D06}" srcOrd="1" destOrd="3" presId="urn:microsoft.com/office/officeart/2005/8/layout/orgChart1"/>
    <dgm:cxn modelId="{91FC0BA9-DCD1-4B25-BEC0-FEF8705B4C5C}" type="presParOf" srcId="{3CD9A474-13D5-4B38-B0E2-822237D1327B}" destId="{59A1AAB2-E5A8-4155-8B4A-AD61B70833BF}" srcOrd="2" destOrd="3" presId="urn:microsoft.com/office/officeart/2005/8/layout/orgChart1"/>
    <dgm:cxn modelId="{285FC483-D9EF-4DC3-A708-EAC5E6AF0B9B}" type="presParOf" srcId="{F728C3E8-5128-4BB6-90CC-A86769ECE335}" destId="{0E819307-1B4E-434E-BA76-D5A4192B0663}"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5327650" cy="5476875"/>
        <a:chOff x="0" y="0"/>
        <a:chExt cx="5327650" cy="5476875"/>
      </a:xfrm>
    </dsp:grpSpPr>
    <dsp:sp>
      <dsp:nvSpPr>
        <dsp:cNvPr id="14" name="任意多边形 13"/>
        <dsp:cNvSpPr/>
      </dsp:nvSpPr>
      <dsp:spPr bwMode="white">
        <a:xfrm>
          <a:off x="2694252" y="676157"/>
          <a:ext cx="141993" cy="622065"/>
        </a:xfrm>
        <a:custGeom>
          <a:avLst/>
          <a:gdLst/>
          <a:ahLst/>
          <a:cxnLst/>
          <a:pathLst>
            <a:path w="224" h="980">
              <a:moveTo>
                <a:pt x="0" y="0"/>
              </a:moveTo>
              <a:lnTo>
                <a:pt x="0" y="980"/>
              </a:lnTo>
              <a:lnTo>
                <a:pt x="224" y="980"/>
              </a:lnTo>
            </a:path>
          </a:pathLst>
        </a:custGeom>
      </dsp:spPr>
      <dsp:style>
        <a:lnRef idx="2">
          <a:schemeClr val="dk1">
            <a:shade val="60000"/>
          </a:schemeClr>
        </a:lnRef>
        <a:fillRef idx="0">
          <a:schemeClr val="dk1"/>
        </a:fillRef>
        <a:effectRef idx="0">
          <a:scrgbClr r="0" g="0" b="0"/>
        </a:effectRef>
        <a:fontRef idx="minor"/>
      </dsp:style>
      <dsp:txXfrm>
        <a:off x="2694252" y="676157"/>
        <a:ext cx="141993" cy="622065"/>
      </dsp:txXfrm>
    </dsp:sp>
    <dsp:sp>
      <dsp:nvSpPr>
        <dsp:cNvPr id="57" name="任意多边形 56"/>
        <dsp:cNvSpPr/>
      </dsp:nvSpPr>
      <dsp:spPr bwMode="white">
        <a:xfrm>
          <a:off x="3512403" y="1636301"/>
          <a:ext cx="141993" cy="1582208"/>
        </a:xfrm>
        <a:custGeom>
          <a:avLst/>
          <a:gdLst/>
          <a:ahLst/>
          <a:cxnLst/>
          <a:pathLst>
            <a:path w="224" h="2492">
              <a:moveTo>
                <a:pt x="0" y="0"/>
              </a:moveTo>
              <a:lnTo>
                <a:pt x="0" y="2492"/>
              </a:lnTo>
              <a:lnTo>
                <a:pt x="224" y="2492"/>
              </a:lnTo>
            </a:path>
          </a:pathLst>
        </a:custGeom>
      </dsp:spPr>
      <dsp:style>
        <a:lnRef idx="2">
          <a:schemeClr val="dk1">
            <a:shade val="80000"/>
          </a:schemeClr>
        </a:lnRef>
        <a:fillRef idx="0">
          <a:schemeClr val="dk1"/>
        </a:fillRef>
        <a:effectRef idx="0">
          <a:scrgbClr r="0" g="0" b="0"/>
        </a:effectRef>
        <a:fontRef idx="minor"/>
      </dsp:style>
      <dsp:txXfrm>
        <a:off x="3512403" y="1636301"/>
        <a:ext cx="141993" cy="1582208"/>
      </dsp:txXfrm>
    </dsp:sp>
    <dsp:sp>
      <dsp:nvSpPr>
        <dsp:cNvPr id="60" name="任意多边形 59"/>
        <dsp:cNvSpPr/>
      </dsp:nvSpPr>
      <dsp:spPr bwMode="white">
        <a:xfrm>
          <a:off x="3512403" y="1636301"/>
          <a:ext cx="141993" cy="2542352"/>
        </a:xfrm>
        <a:custGeom>
          <a:avLst/>
          <a:gdLst/>
          <a:ahLst/>
          <a:cxnLst/>
          <a:pathLst>
            <a:path w="224" h="4004">
              <a:moveTo>
                <a:pt x="0" y="0"/>
              </a:moveTo>
              <a:lnTo>
                <a:pt x="0" y="4004"/>
              </a:lnTo>
              <a:lnTo>
                <a:pt x="224" y="4004"/>
              </a:lnTo>
            </a:path>
          </a:pathLst>
        </a:custGeom>
      </dsp:spPr>
      <dsp:style>
        <a:lnRef idx="2">
          <a:schemeClr val="dk1">
            <a:shade val="80000"/>
          </a:schemeClr>
        </a:lnRef>
        <a:fillRef idx="0">
          <a:schemeClr val="dk1"/>
        </a:fillRef>
        <a:effectRef idx="0">
          <a:scrgbClr r="0" g="0" b="0"/>
        </a:effectRef>
        <a:fontRef idx="minor"/>
      </dsp:style>
      <dsp:txXfrm>
        <a:off x="3512403" y="1636301"/>
        <a:ext cx="141993" cy="2542352"/>
      </dsp:txXfrm>
    </dsp:sp>
    <dsp:sp>
      <dsp:nvSpPr>
        <dsp:cNvPr id="63" name="任意多边形 62"/>
        <dsp:cNvSpPr/>
      </dsp:nvSpPr>
      <dsp:spPr bwMode="white">
        <a:xfrm>
          <a:off x="3512403" y="1636301"/>
          <a:ext cx="141993" cy="3502495"/>
        </a:xfrm>
        <a:custGeom>
          <a:avLst/>
          <a:gdLst/>
          <a:ahLst/>
          <a:cxnLst/>
          <a:pathLst>
            <a:path w="224" h="5516">
              <a:moveTo>
                <a:pt x="0" y="0"/>
              </a:moveTo>
              <a:lnTo>
                <a:pt x="0" y="5516"/>
              </a:lnTo>
              <a:lnTo>
                <a:pt x="224" y="5516"/>
              </a:lnTo>
            </a:path>
          </a:pathLst>
        </a:custGeom>
      </dsp:spPr>
      <dsp:style>
        <a:lnRef idx="2">
          <a:schemeClr val="dk1">
            <a:shade val="80000"/>
          </a:schemeClr>
        </a:lnRef>
        <a:fillRef idx="0">
          <a:schemeClr val="dk1"/>
        </a:fillRef>
        <a:effectRef idx="0">
          <a:scrgbClr r="0" g="0" b="0"/>
        </a:effectRef>
        <a:fontRef idx="minor"/>
      </dsp:style>
      <dsp:txXfrm>
        <a:off x="3512403" y="1636301"/>
        <a:ext cx="141993" cy="3502495"/>
      </dsp:txXfrm>
    </dsp:sp>
    <dsp:sp>
      <dsp:nvSpPr>
        <dsp:cNvPr id="45" name="任意多边形 44"/>
        <dsp:cNvSpPr/>
      </dsp:nvSpPr>
      <dsp:spPr bwMode="white">
        <a:xfrm>
          <a:off x="3512403" y="1636301"/>
          <a:ext cx="141993" cy="622065"/>
        </a:xfrm>
        <a:custGeom>
          <a:avLst/>
          <a:gdLst/>
          <a:ahLst/>
          <a:cxnLst/>
          <a:pathLst>
            <a:path w="224" h="980">
              <a:moveTo>
                <a:pt x="0" y="0"/>
              </a:moveTo>
              <a:lnTo>
                <a:pt x="0" y="980"/>
              </a:lnTo>
              <a:lnTo>
                <a:pt x="224" y="980"/>
              </a:lnTo>
            </a:path>
          </a:pathLst>
        </a:custGeom>
      </dsp:spPr>
      <dsp:style>
        <a:lnRef idx="2">
          <a:schemeClr val="dk1">
            <a:shade val="80000"/>
          </a:schemeClr>
        </a:lnRef>
        <a:fillRef idx="0">
          <a:schemeClr val="dk1"/>
        </a:fillRef>
        <a:effectRef idx="0">
          <a:scrgbClr r="0" g="0" b="0"/>
        </a:effectRef>
        <a:fontRef idx="minor"/>
      </dsp:style>
      <dsp:txXfrm>
        <a:off x="3512403" y="1636301"/>
        <a:ext cx="141993" cy="622065"/>
      </dsp:txXfrm>
    </dsp:sp>
    <dsp:sp>
      <dsp:nvSpPr>
        <dsp:cNvPr id="33" name="任意多边形 32"/>
        <dsp:cNvSpPr/>
      </dsp:nvSpPr>
      <dsp:spPr bwMode="white">
        <a:xfrm>
          <a:off x="1673254" y="676157"/>
          <a:ext cx="1020998" cy="622065"/>
        </a:xfrm>
        <a:custGeom>
          <a:avLst/>
          <a:gdLst/>
          <a:ahLst/>
          <a:cxnLst/>
          <a:pathLst>
            <a:path w="1608" h="980">
              <a:moveTo>
                <a:pt x="1608" y="0"/>
              </a:moveTo>
              <a:lnTo>
                <a:pt x="1608" y="980"/>
              </a:lnTo>
              <a:lnTo>
                <a:pt x="0" y="980"/>
              </a:lnTo>
            </a:path>
          </a:pathLst>
        </a:custGeom>
      </dsp:spPr>
      <dsp:style>
        <a:lnRef idx="2">
          <a:schemeClr val="dk1">
            <a:shade val="60000"/>
          </a:schemeClr>
        </a:lnRef>
        <a:fillRef idx="0">
          <a:schemeClr val="dk1"/>
        </a:fillRef>
        <a:effectRef idx="0">
          <a:scrgbClr r="0" g="0" b="0"/>
        </a:effectRef>
        <a:fontRef idx="minor"/>
      </dsp:style>
      <dsp:txXfrm>
        <a:off x="1673254" y="676157"/>
        <a:ext cx="1020998" cy="622065"/>
      </dsp:txXfrm>
    </dsp:sp>
    <dsp:sp>
      <dsp:nvSpPr>
        <dsp:cNvPr id="36" name="任意多边形 35"/>
        <dsp:cNvSpPr/>
      </dsp:nvSpPr>
      <dsp:spPr bwMode="white">
        <a:xfrm>
          <a:off x="997097" y="1636301"/>
          <a:ext cx="202847" cy="622065"/>
        </a:xfrm>
        <a:custGeom>
          <a:avLst/>
          <a:gdLst/>
          <a:ahLst/>
          <a:cxnLst/>
          <a:pathLst>
            <a:path w="319" h="980">
              <a:moveTo>
                <a:pt x="0" y="0"/>
              </a:moveTo>
              <a:lnTo>
                <a:pt x="0" y="980"/>
              </a:lnTo>
              <a:lnTo>
                <a:pt x="319" y="980"/>
              </a:lnTo>
            </a:path>
          </a:pathLst>
        </a:custGeom>
      </dsp:spPr>
      <dsp:style>
        <a:lnRef idx="2">
          <a:schemeClr val="dk1">
            <a:shade val="80000"/>
          </a:schemeClr>
        </a:lnRef>
        <a:fillRef idx="0">
          <a:schemeClr val="dk1"/>
        </a:fillRef>
        <a:effectRef idx="0">
          <a:scrgbClr r="0" g="0" b="0"/>
        </a:effectRef>
        <a:fontRef idx="minor"/>
      </dsp:style>
      <dsp:txXfrm>
        <a:off x="997097" y="1636301"/>
        <a:ext cx="202847" cy="622065"/>
      </dsp:txXfrm>
    </dsp:sp>
    <dsp:sp>
      <dsp:nvSpPr>
        <dsp:cNvPr id="42" name="任意多边形 41"/>
        <dsp:cNvSpPr/>
      </dsp:nvSpPr>
      <dsp:spPr bwMode="white">
        <a:xfrm>
          <a:off x="997097" y="1636301"/>
          <a:ext cx="202847" cy="1582208"/>
        </a:xfrm>
        <a:custGeom>
          <a:avLst/>
          <a:gdLst/>
          <a:ahLst/>
          <a:cxnLst/>
          <a:pathLst>
            <a:path w="319" h="2492">
              <a:moveTo>
                <a:pt x="0" y="0"/>
              </a:moveTo>
              <a:lnTo>
                <a:pt x="0" y="2492"/>
              </a:lnTo>
              <a:lnTo>
                <a:pt x="319" y="2492"/>
              </a:lnTo>
            </a:path>
          </a:pathLst>
        </a:custGeom>
      </dsp:spPr>
      <dsp:style>
        <a:lnRef idx="2">
          <a:schemeClr val="dk1">
            <a:shade val="80000"/>
          </a:schemeClr>
        </a:lnRef>
        <a:fillRef idx="0">
          <a:schemeClr val="dk1"/>
        </a:fillRef>
        <a:effectRef idx="0">
          <a:scrgbClr r="0" g="0" b="0"/>
        </a:effectRef>
        <a:fontRef idx="minor"/>
      </dsp:style>
      <dsp:txXfrm>
        <a:off x="997097" y="1636301"/>
        <a:ext cx="202847" cy="1582208"/>
      </dsp:txXfrm>
    </dsp:sp>
    <dsp:sp>
      <dsp:nvSpPr>
        <dsp:cNvPr id="28" name="矩形 27"/>
        <dsp:cNvSpPr/>
      </dsp:nvSpPr>
      <dsp:spPr bwMode="white">
        <a:xfrm>
          <a:off x="2018095" y="0"/>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solidFill>
                <a:schemeClr val="dk1"/>
              </a:solidFill>
            </a:rPr>
            <a:t>古代印度的教育形态</a:t>
          </a:r>
          <a:endParaRPr lang="zh-CN" altLang="en-US">
            <a:solidFill>
              <a:schemeClr val="dk1"/>
            </a:solidFill>
          </a:endParaRPr>
        </a:p>
      </dsp:txBody>
      <dsp:txXfrm>
        <a:off x="2018095" y="0"/>
        <a:ext cx="1352315" cy="676157"/>
      </dsp:txXfrm>
    </dsp:sp>
    <dsp:sp>
      <dsp:nvSpPr>
        <dsp:cNvPr id="15" name="矩形 14"/>
        <dsp:cNvSpPr/>
      </dsp:nvSpPr>
      <dsp:spPr bwMode="white">
        <a:xfrm>
          <a:off x="2836245" y="960144"/>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lang="zh-CN" altLang="en-US">
              <a:solidFill>
                <a:schemeClr val="dk1"/>
              </a:solidFill>
            </a:rPr>
            <a:t>婆罗门教</a:t>
          </a:r>
          <a:endParaRPr lang="zh-CN" altLang="en-US">
            <a:solidFill>
              <a:schemeClr val="dk1"/>
            </a:solidFill>
          </a:endParaRPr>
        </a:p>
      </dsp:txBody>
      <dsp:txXfrm>
        <a:off x="2836245" y="960144"/>
        <a:ext cx="1352315" cy="676157"/>
      </dsp:txXfrm>
    </dsp:sp>
    <dsp:sp>
      <dsp:nvSpPr>
        <dsp:cNvPr id="58" name="矩形 57"/>
        <dsp:cNvSpPr/>
      </dsp:nvSpPr>
      <dsp:spPr bwMode="white">
        <a:xfrm>
          <a:off x="3654396" y="2880431"/>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altLang="en-US">
              <a:solidFill>
                <a:schemeClr val="dk1"/>
              </a:solidFill>
            </a:rPr>
            <a:t>教育思想：教条</a:t>
          </a:r>
          <a:endParaRPr altLang="en-US">
            <a:solidFill>
              <a:schemeClr val="dk1"/>
            </a:solidFill>
          </a:endParaRPr>
        </a:p>
      </dsp:txBody>
      <dsp:txXfrm>
        <a:off x="3654396" y="2880431"/>
        <a:ext cx="1352315" cy="676157"/>
      </dsp:txXfrm>
    </dsp:sp>
    <dsp:sp>
      <dsp:nvSpPr>
        <dsp:cNvPr id="61" name="矩形 60"/>
        <dsp:cNvSpPr/>
      </dsp:nvSpPr>
      <dsp:spPr bwMode="white">
        <a:xfrm>
          <a:off x="3654396" y="3840574"/>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altLang="en-US">
              <a:solidFill>
                <a:schemeClr val="dk1"/>
              </a:solidFill>
            </a:rPr>
            <a:t>教师：僧侣</a:t>
          </a:r>
          <a:endParaRPr altLang="en-US">
            <a:solidFill>
              <a:schemeClr val="dk1"/>
            </a:solidFill>
          </a:endParaRPr>
        </a:p>
      </dsp:txBody>
      <dsp:txXfrm>
        <a:off x="3654396" y="3840574"/>
        <a:ext cx="1352315" cy="676157"/>
      </dsp:txXfrm>
    </dsp:sp>
    <dsp:sp>
      <dsp:nvSpPr>
        <dsp:cNvPr id="64" name="矩形 63"/>
        <dsp:cNvSpPr/>
      </dsp:nvSpPr>
      <dsp:spPr bwMode="white">
        <a:xfrm>
          <a:off x="3654396" y="4800718"/>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altLang="en-US">
              <a:solidFill>
                <a:schemeClr val="dk1"/>
              </a:solidFill>
            </a:rPr>
            <a:t>教育活动：背诵经典、钻研经义</a:t>
          </a:r>
          <a:endParaRPr altLang="en-US">
            <a:solidFill>
              <a:schemeClr val="dk1"/>
            </a:solidFill>
          </a:endParaRPr>
        </a:p>
      </dsp:txBody>
      <dsp:txXfrm>
        <a:off x="3654396" y="4800718"/>
        <a:ext cx="1352315" cy="676157"/>
      </dsp:txXfrm>
    </dsp:sp>
    <dsp:sp>
      <dsp:nvSpPr>
        <dsp:cNvPr id="46" name="矩形 45"/>
        <dsp:cNvSpPr/>
      </dsp:nvSpPr>
      <dsp:spPr bwMode="white">
        <a:xfrm>
          <a:off x="3654396" y="1920287"/>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altLang="en-US">
              <a:solidFill>
                <a:schemeClr val="dk1"/>
              </a:solidFill>
            </a:rPr>
            <a:t>教育经典：《吠陀》</a:t>
          </a:r>
          <a:r>
            <a:rPr lang="en-US">
              <a:solidFill>
                <a:schemeClr val="dk1"/>
              </a:solidFill>
            </a:rPr>
            <a:t>—</a:t>
          </a:r>
          <a:r>
            <a:rPr altLang="en-US">
              <a:solidFill>
                <a:schemeClr val="dk1"/>
              </a:solidFill>
            </a:rPr>
            <a:t>教育内容</a:t>
          </a:r>
          <a:endParaRPr altLang="en-US">
            <a:solidFill>
              <a:schemeClr val="dk1"/>
            </a:solidFill>
          </a:endParaRPr>
        </a:p>
      </dsp:txBody>
      <dsp:txXfrm>
        <a:off x="3654396" y="1920287"/>
        <a:ext cx="1352315" cy="676157"/>
      </dsp:txXfrm>
    </dsp:sp>
    <dsp:sp>
      <dsp:nvSpPr>
        <dsp:cNvPr id="34" name="矩形 33"/>
        <dsp:cNvSpPr/>
      </dsp:nvSpPr>
      <dsp:spPr bwMode="white">
        <a:xfrm>
          <a:off x="320940" y="960144"/>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altLang="en-US">
              <a:solidFill>
                <a:schemeClr val="dk1"/>
              </a:solidFill>
            </a:rPr>
            <a:t>佛教 </a:t>
          </a:r>
          <a:endParaRPr altLang="en-US">
            <a:solidFill>
              <a:schemeClr val="dk1"/>
            </a:solidFill>
          </a:endParaRPr>
        </a:p>
      </dsp:txBody>
      <dsp:txXfrm>
        <a:off x="320940" y="960144"/>
        <a:ext cx="1352315" cy="676157"/>
      </dsp:txXfrm>
    </dsp:sp>
    <dsp:sp>
      <dsp:nvSpPr>
        <dsp:cNvPr id="37" name="矩形 36"/>
        <dsp:cNvSpPr/>
      </dsp:nvSpPr>
      <dsp:spPr bwMode="white">
        <a:xfrm>
          <a:off x="1199944" y="1920287"/>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altLang="en-US">
              <a:solidFill>
                <a:schemeClr val="dk1"/>
              </a:solidFill>
            </a:rPr>
            <a:t>关心大众、广设庙宇</a:t>
          </a:r>
          <a:endParaRPr altLang="en-US">
            <a:solidFill>
              <a:schemeClr val="dk1"/>
            </a:solidFill>
          </a:endParaRPr>
        </a:p>
      </dsp:txBody>
      <dsp:txXfrm>
        <a:off x="1199944" y="1920287"/>
        <a:ext cx="1352315" cy="676157"/>
      </dsp:txXfrm>
    </dsp:sp>
    <dsp:sp>
      <dsp:nvSpPr>
        <dsp:cNvPr id="43" name="矩形 42"/>
        <dsp:cNvSpPr/>
      </dsp:nvSpPr>
      <dsp:spPr bwMode="white">
        <a:xfrm>
          <a:off x="1199944" y="2880431"/>
          <a:ext cx="1352315" cy="6761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8890" tIns="8890" rIns="8890" bIns="8890" anchor="ctr"/>
        <a:lstStyle>
          <a:lvl1pPr algn="ctr">
            <a:defRPr sz="1400"/>
          </a:lvl1pPr>
          <a:lvl2pPr marL="57150" indent="-57150" algn="ctr">
            <a:defRPr sz="1000"/>
          </a:lvl2pPr>
          <a:lvl3pPr marL="114300" indent="-57150" algn="ctr">
            <a:defRPr sz="1000"/>
          </a:lvl3pPr>
          <a:lvl4pPr marL="171450" indent="-57150" algn="ctr">
            <a:defRPr sz="1000"/>
          </a:lvl4pPr>
          <a:lvl5pPr marL="228600" indent="-57150" algn="ctr">
            <a:defRPr sz="1000"/>
          </a:lvl5pPr>
          <a:lvl6pPr marL="285750" indent="-57150" algn="ctr">
            <a:defRPr sz="1000"/>
          </a:lvl6pPr>
          <a:lvl7pPr marL="342900" indent="-57150" algn="ctr">
            <a:defRPr sz="1000"/>
          </a:lvl7pPr>
          <a:lvl8pPr marL="400050" indent="-57150" algn="ctr">
            <a:defRPr sz="1000"/>
          </a:lvl8pPr>
          <a:lvl9pPr marL="457200" indent="-57150" algn="ctr">
            <a:defRPr sz="1000"/>
          </a:lvl9pPr>
        </a:lstStyle>
        <a:p>
          <a:pPr lvl="0">
            <a:lnSpc>
              <a:spcPct val="100000"/>
            </a:lnSpc>
            <a:spcBef>
              <a:spcPct val="0"/>
            </a:spcBef>
            <a:spcAft>
              <a:spcPct val="35000"/>
            </a:spcAft>
          </a:pPr>
          <a:r>
            <a:rPr altLang="en-US">
              <a:solidFill>
                <a:schemeClr val="dk1"/>
              </a:solidFill>
            </a:rPr>
            <a:t>寺院学府</a:t>
          </a:r>
          <a:endParaRPr altLang="en-US">
            <a:solidFill>
              <a:schemeClr val="dk1"/>
            </a:solidFill>
          </a:endParaRPr>
        </a:p>
      </dsp:txBody>
      <dsp:txXfrm>
        <a:off x="1199944" y="2880431"/>
        <a:ext cx="1352315" cy="676157"/>
      </dsp:txXfrm>
    </dsp:sp>
    <dsp:sp>
      <dsp:nvSpPr>
        <dsp:cNvPr id="29" name="矩形 28" hidden="1"/>
        <dsp:cNvSpPr/>
      </dsp:nvSpPr>
      <dsp:spPr bwMode="white">
        <a:xfrm>
          <a:off x="3099947" y="0"/>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3099947" y="0"/>
        <a:ext cx="270463" cy="676157"/>
      </dsp:txXfrm>
    </dsp:sp>
    <dsp:sp>
      <dsp:nvSpPr>
        <dsp:cNvPr id="16" name="矩形 15" hidden="1"/>
        <dsp:cNvSpPr/>
      </dsp:nvSpPr>
      <dsp:spPr bwMode="white">
        <a:xfrm>
          <a:off x="2836245" y="960144"/>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2836245" y="960144"/>
        <a:ext cx="270463" cy="676157"/>
      </dsp:txXfrm>
    </dsp:sp>
    <dsp:sp>
      <dsp:nvSpPr>
        <dsp:cNvPr id="59" name="矩形 58" hidden="1"/>
        <dsp:cNvSpPr/>
      </dsp:nvSpPr>
      <dsp:spPr bwMode="white">
        <a:xfrm>
          <a:off x="3654396" y="2880431"/>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3654396" y="2880431"/>
        <a:ext cx="270463" cy="676157"/>
      </dsp:txXfrm>
    </dsp:sp>
    <dsp:sp>
      <dsp:nvSpPr>
        <dsp:cNvPr id="62" name="矩形 61" hidden="1"/>
        <dsp:cNvSpPr/>
      </dsp:nvSpPr>
      <dsp:spPr bwMode="white">
        <a:xfrm>
          <a:off x="3654396" y="3840574"/>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3654396" y="3840574"/>
        <a:ext cx="270463" cy="676157"/>
      </dsp:txXfrm>
    </dsp:sp>
    <dsp:sp>
      <dsp:nvSpPr>
        <dsp:cNvPr id="65" name="矩形 64" hidden="1"/>
        <dsp:cNvSpPr/>
      </dsp:nvSpPr>
      <dsp:spPr bwMode="white">
        <a:xfrm>
          <a:off x="3654396" y="4800718"/>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3654396" y="4800718"/>
        <a:ext cx="270463" cy="676157"/>
      </dsp:txXfrm>
    </dsp:sp>
    <dsp:sp>
      <dsp:nvSpPr>
        <dsp:cNvPr id="47" name="矩形 46" hidden="1"/>
        <dsp:cNvSpPr/>
      </dsp:nvSpPr>
      <dsp:spPr bwMode="white">
        <a:xfrm>
          <a:off x="3654396" y="1920287"/>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3654396" y="1920287"/>
        <a:ext cx="270463" cy="676157"/>
      </dsp:txXfrm>
    </dsp:sp>
    <dsp:sp>
      <dsp:nvSpPr>
        <dsp:cNvPr id="35" name="矩形 34" hidden="1"/>
        <dsp:cNvSpPr/>
      </dsp:nvSpPr>
      <dsp:spPr bwMode="white">
        <a:xfrm>
          <a:off x="320940" y="960144"/>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320940" y="960144"/>
        <a:ext cx="270463" cy="676157"/>
      </dsp:txXfrm>
    </dsp:sp>
    <dsp:sp>
      <dsp:nvSpPr>
        <dsp:cNvPr id="38" name="矩形 37" hidden="1"/>
        <dsp:cNvSpPr/>
      </dsp:nvSpPr>
      <dsp:spPr bwMode="white">
        <a:xfrm>
          <a:off x="1199944" y="1920287"/>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1199944" y="1920287"/>
        <a:ext cx="270463" cy="676157"/>
      </dsp:txXfrm>
    </dsp:sp>
    <dsp:sp>
      <dsp:nvSpPr>
        <dsp:cNvPr id="44" name="矩形 43" hidden="1"/>
        <dsp:cNvSpPr/>
      </dsp:nvSpPr>
      <dsp:spPr bwMode="white">
        <a:xfrm>
          <a:off x="1199944" y="2880431"/>
          <a:ext cx="270463" cy="6761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1199944" y="2880431"/>
        <a:ext cx="270463" cy="6761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6221730" cy="2838450"/>
        <a:chOff x="0" y="0"/>
        <a:chExt cx="6221730" cy="2838450"/>
      </a:xfrm>
    </dsp:grpSpPr>
    <dsp:sp>
      <dsp:nvSpPr>
        <dsp:cNvPr id="5" name="任意多边形 4"/>
        <dsp:cNvSpPr/>
      </dsp:nvSpPr>
      <dsp:spPr bwMode="white">
        <a:xfrm>
          <a:off x="975179" y="1013268"/>
          <a:ext cx="2135686" cy="185328"/>
        </a:xfrm>
        <a:custGeom>
          <a:avLst/>
          <a:gdLst/>
          <a:ahLst/>
          <a:cxnLst/>
          <a:pathLst>
            <a:path w="3363" h="292">
              <a:moveTo>
                <a:pt x="3363" y="0"/>
              </a:moveTo>
              <a:lnTo>
                <a:pt x="3363" y="146"/>
              </a:lnTo>
              <a:lnTo>
                <a:pt x="0" y="146"/>
              </a:lnTo>
              <a:lnTo>
                <a:pt x="0" y="292"/>
              </a:lnTo>
            </a:path>
          </a:pathLst>
        </a:custGeom>
      </dsp:spPr>
      <dsp:style>
        <a:lnRef idx="2">
          <a:schemeClr val="dk1">
            <a:shade val="60000"/>
          </a:schemeClr>
        </a:lnRef>
        <a:fillRef idx="0">
          <a:schemeClr val="dk1"/>
        </a:fillRef>
        <a:effectRef idx="0">
          <a:scrgbClr r="0" g="0" b="0"/>
        </a:effectRef>
        <a:fontRef idx="minor"/>
      </dsp:style>
      <dsp:txXfrm>
        <a:off x="975179" y="1013268"/>
        <a:ext cx="2135686" cy="185328"/>
      </dsp:txXfrm>
    </dsp:sp>
    <dsp:sp>
      <dsp:nvSpPr>
        <dsp:cNvPr id="31" name="任意多边形 30"/>
        <dsp:cNvSpPr/>
      </dsp:nvSpPr>
      <dsp:spPr bwMode="white">
        <a:xfrm>
          <a:off x="882515" y="1639854"/>
          <a:ext cx="92664" cy="405957"/>
        </a:xfrm>
        <a:custGeom>
          <a:avLst/>
          <a:gdLst/>
          <a:ahLst/>
          <a:cxnLst/>
          <a:pathLst>
            <a:path w="146" h="639">
              <a:moveTo>
                <a:pt x="146" y="0"/>
              </a:moveTo>
              <a:lnTo>
                <a:pt x="146" y="639"/>
              </a:lnTo>
              <a:lnTo>
                <a:pt x="0" y="639"/>
              </a:lnTo>
            </a:path>
          </a:pathLst>
        </a:custGeom>
      </dsp:spPr>
      <dsp:style>
        <a:lnRef idx="2">
          <a:schemeClr val="dk1">
            <a:shade val="80000"/>
          </a:schemeClr>
        </a:lnRef>
        <a:fillRef idx="0">
          <a:schemeClr val="dk1"/>
        </a:fillRef>
        <a:effectRef idx="0">
          <a:scrgbClr r="0" g="0" b="0"/>
        </a:effectRef>
        <a:fontRef idx="minor"/>
      </dsp:style>
      <dsp:txXfrm>
        <a:off x="882515" y="1639854"/>
        <a:ext cx="92664" cy="405957"/>
      </dsp:txXfrm>
    </dsp:sp>
    <dsp:sp>
      <dsp:nvSpPr>
        <dsp:cNvPr id="58" name="任意多边形 57"/>
        <dsp:cNvSpPr/>
      </dsp:nvSpPr>
      <dsp:spPr bwMode="white">
        <a:xfrm>
          <a:off x="975179" y="1639854"/>
          <a:ext cx="92664" cy="405957"/>
        </a:xfrm>
        <a:custGeom>
          <a:avLst/>
          <a:gdLst/>
          <a:ahLst/>
          <a:cxnLst/>
          <a:pathLst>
            <a:path w="146" h="639">
              <a:moveTo>
                <a:pt x="0" y="0"/>
              </a:moveTo>
              <a:lnTo>
                <a:pt x="0" y="639"/>
              </a:lnTo>
              <a:lnTo>
                <a:pt x="146" y="639"/>
              </a:lnTo>
            </a:path>
          </a:pathLst>
        </a:custGeom>
      </dsp:spPr>
      <dsp:style>
        <a:lnRef idx="2">
          <a:schemeClr val="dk1">
            <a:shade val="80000"/>
          </a:schemeClr>
        </a:lnRef>
        <a:fillRef idx="0">
          <a:schemeClr val="dk1"/>
        </a:fillRef>
        <a:effectRef idx="0">
          <a:scrgbClr r="0" g="0" b="0"/>
        </a:effectRef>
        <a:fontRef idx="minor"/>
      </dsp:style>
      <dsp:txXfrm>
        <a:off x="975179" y="1639854"/>
        <a:ext cx="92664" cy="405957"/>
      </dsp:txXfrm>
    </dsp:sp>
    <dsp:sp>
      <dsp:nvSpPr>
        <dsp:cNvPr id="8" name="任意多边形 7"/>
        <dsp:cNvSpPr/>
      </dsp:nvSpPr>
      <dsp:spPr bwMode="white">
        <a:xfrm>
          <a:off x="3110865" y="1013268"/>
          <a:ext cx="0" cy="185328"/>
        </a:xfrm>
        <a:custGeom>
          <a:avLst/>
          <a:gdLst/>
          <a:ahLst/>
          <a:cxnLst/>
          <a:pathLst>
            <a:path h="292">
              <a:moveTo>
                <a:pt x="0" y="0"/>
              </a:moveTo>
              <a:lnTo>
                <a:pt x="0" y="292"/>
              </a:lnTo>
            </a:path>
          </a:pathLst>
        </a:custGeom>
      </dsp:spPr>
      <dsp:style>
        <a:lnRef idx="2">
          <a:schemeClr val="dk1">
            <a:shade val="60000"/>
          </a:schemeClr>
        </a:lnRef>
        <a:fillRef idx="0">
          <a:schemeClr val="dk1"/>
        </a:fillRef>
        <a:effectRef idx="0">
          <a:scrgbClr r="0" g="0" b="0"/>
        </a:effectRef>
        <a:fontRef idx="minor"/>
      </dsp:style>
      <dsp:txXfrm>
        <a:off x="3110865" y="1013268"/>
        <a:ext cx="0" cy="185328"/>
      </dsp:txXfrm>
    </dsp:sp>
    <dsp:sp>
      <dsp:nvSpPr>
        <dsp:cNvPr id="37" name="任意多边形 36"/>
        <dsp:cNvSpPr/>
      </dsp:nvSpPr>
      <dsp:spPr bwMode="white">
        <a:xfrm>
          <a:off x="3018201" y="1639854"/>
          <a:ext cx="92664" cy="405957"/>
        </a:xfrm>
        <a:custGeom>
          <a:avLst/>
          <a:gdLst/>
          <a:ahLst/>
          <a:cxnLst/>
          <a:pathLst>
            <a:path w="146" h="639">
              <a:moveTo>
                <a:pt x="146" y="0"/>
              </a:moveTo>
              <a:lnTo>
                <a:pt x="146" y="639"/>
              </a:lnTo>
              <a:lnTo>
                <a:pt x="0" y="639"/>
              </a:lnTo>
            </a:path>
          </a:pathLst>
        </a:custGeom>
      </dsp:spPr>
      <dsp:style>
        <a:lnRef idx="2">
          <a:schemeClr val="dk1">
            <a:shade val="80000"/>
          </a:schemeClr>
        </a:lnRef>
        <a:fillRef idx="0">
          <a:schemeClr val="dk1"/>
        </a:fillRef>
        <a:effectRef idx="0">
          <a:scrgbClr r="0" g="0" b="0"/>
        </a:effectRef>
        <a:fontRef idx="minor"/>
      </dsp:style>
      <dsp:txXfrm>
        <a:off x="3018201" y="1639854"/>
        <a:ext cx="92664" cy="405957"/>
      </dsp:txXfrm>
    </dsp:sp>
    <dsp:sp>
      <dsp:nvSpPr>
        <dsp:cNvPr id="46" name="任意多边形 45"/>
        <dsp:cNvSpPr/>
      </dsp:nvSpPr>
      <dsp:spPr bwMode="white">
        <a:xfrm>
          <a:off x="3110865" y="1639854"/>
          <a:ext cx="92664" cy="405957"/>
        </a:xfrm>
        <a:custGeom>
          <a:avLst/>
          <a:gdLst/>
          <a:ahLst/>
          <a:cxnLst/>
          <a:pathLst>
            <a:path w="146" h="639">
              <a:moveTo>
                <a:pt x="0" y="0"/>
              </a:moveTo>
              <a:lnTo>
                <a:pt x="0" y="639"/>
              </a:lnTo>
              <a:lnTo>
                <a:pt x="146" y="639"/>
              </a:lnTo>
            </a:path>
          </a:pathLst>
        </a:custGeom>
      </dsp:spPr>
      <dsp:style>
        <a:lnRef idx="2">
          <a:schemeClr val="dk1">
            <a:shade val="80000"/>
          </a:schemeClr>
        </a:lnRef>
        <a:fillRef idx="0">
          <a:schemeClr val="dk1"/>
        </a:fillRef>
        <a:effectRef idx="0">
          <a:scrgbClr r="0" g="0" b="0"/>
        </a:effectRef>
        <a:fontRef idx="minor"/>
      </dsp:style>
      <dsp:txXfrm>
        <a:off x="3110865" y="1639854"/>
        <a:ext cx="92664" cy="405957"/>
      </dsp:txXfrm>
    </dsp:sp>
    <dsp:sp>
      <dsp:nvSpPr>
        <dsp:cNvPr id="11" name="任意多边形 10"/>
        <dsp:cNvSpPr/>
      </dsp:nvSpPr>
      <dsp:spPr bwMode="white">
        <a:xfrm>
          <a:off x="3110865" y="1013268"/>
          <a:ext cx="2135686" cy="185328"/>
        </a:xfrm>
        <a:custGeom>
          <a:avLst/>
          <a:gdLst/>
          <a:ahLst/>
          <a:cxnLst/>
          <a:pathLst>
            <a:path w="3363" h="292">
              <a:moveTo>
                <a:pt x="0" y="0"/>
              </a:moveTo>
              <a:lnTo>
                <a:pt x="0" y="146"/>
              </a:lnTo>
              <a:lnTo>
                <a:pt x="3363" y="146"/>
              </a:lnTo>
              <a:lnTo>
                <a:pt x="3363" y="292"/>
              </a:lnTo>
            </a:path>
          </a:pathLst>
        </a:custGeom>
      </dsp:spPr>
      <dsp:style>
        <a:lnRef idx="2">
          <a:schemeClr val="dk1">
            <a:shade val="60000"/>
          </a:schemeClr>
        </a:lnRef>
        <a:fillRef idx="0">
          <a:schemeClr val="dk1"/>
        </a:fillRef>
        <a:effectRef idx="0">
          <a:scrgbClr r="0" g="0" b="0"/>
        </a:effectRef>
        <a:fontRef idx="minor"/>
      </dsp:style>
      <dsp:txXfrm>
        <a:off x="3110865" y="1013268"/>
        <a:ext cx="2135686" cy="185328"/>
      </dsp:txXfrm>
    </dsp:sp>
    <dsp:sp>
      <dsp:nvSpPr>
        <dsp:cNvPr id="49" name="任意多边形 48"/>
        <dsp:cNvSpPr/>
      </dsp:nvSpPr>
      <dsp:spPr bwMode="white">
        <a:xfrm>
          <a:off x="5153887" y="1639854"/>
          <a:ext cx="92664" cy="405957"/>
        </a:xfrm>
        <a:custGeom>
          <a:avLst/>
          <a:gdLst/>
          <a:ahLst/>
          <a:cxnLst/>
          <a:pathLst>
            <a:path w="146" h="639">
              <a:moveTo>
                <a:pt x="146" y="0"/>
              </a:moveTo>
              <a:lnTo>
                <a:pt x="146" y="639"/>
              </a:lnTo>
              <a:lnTo>
                <a:pt x="0" y="639"/>
              </a:lnTo>
            </a:path>
          </a:pathLst>
        </a:custGeom>
      </dsp:spPr>
      <dsp:style>
        <a:lnRef idx="2">
          <a:schemeClr val="dk1">
            <a:shade val="80000"/>
          </a:schemeClr>
        </a:lnRef>
        <a:fillRef idx="0">
          <a:schemeClr val="dk1"/>
        </a:fillRef>
        <a:effectRef idx="0">
          <a:scrgbClr r="0" g="0" b="0"/>
        </a:effectRef>
        <a:fontRef idx="minor"/>
      </dsp:style>
      <dsp:txXfrm>
        <a:off x="5153887" y="1639854"/>
        <a:ext cx="92664" cy="405957"/>
      </dsp:txXfrm>
    </dsp:sp>
    <dsp:sp>
      <dsp:nvSpPr>
        <dsp:cNvPr id="55" name="任意多边形 54"/>
        <dsp:cNvSpPr/>
      </dsp:nvSpPr>
      <dsp:spPr bwMode="white">
        <a:xfrm>
          <a:off x="5246551" y="1639854"/>
          <a:ext cx="92664" cy="405957"/>
        </a:xfrm>
        <a:custGeom>
          <a:avLst/>
          <a:gdLst/>
          <a:ahLst/>
          <a:cxnLst/>
          <a:pathLst>
            <a:path w="146" h="639">
              <a:moveTo>
                <a:pt x="0" y="0"/>
              </a:moveTo>
              <a:lnTo>
                <a:pt x="0" y="639"/>
              </a:lnTo>
              <a:lnTo>
                <a:pt x="146" y="639"/>
              </a:lnTo>
            </a:path>
          </a:pathLst>
        </a:custGeom>
      </dsp:spPr>
      <dsp:style>
        <a:lnRef idx="2">
          <a:schemeClr val="dk1">
            <a:shade val="80000"/>
          </a:schemeClr>
        </a:lnRef>
        <a:fillRef idx="0">
          <a:schemeClr val="dk1"/>
        </a:fillRef>
        <a:effectRef idx="0">
          <a:scrgbClr r="0" g="0" b="0"/>
        </a:effectRef>
        <a:fontRef idx="minor"/>
      </dsp:style>
      <dsp:txXfrm>
        <a:off x="5246551" y="1639854"/>
        <a:ext cx="92664" cy="405957"/>
      </dsp:txXfrm>
    </dsp:sp>
    <dsp:sp>
      <dsp:nvSpPr>
        <dsp:cNvPr id="3" name="矩形 2"/>
        <dsp:cNvSpPr/>
      </dsp:nvSpPr>
      <dsp:spPr bwMode="white">
        <a:xfrm>
          <a:off x="2669608" y="572011"/>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教育功能 </a:t>
          </a:r>
          <a:endParaRPr lang="zh-CN" altLang="en-US">
            <a:solidFill>
              <a:schemeClr val="dk1"/>
            </a:solidFill>
          </a:endParaRPr>
        </a:p>
      </dsp:txBody>
      <dsp:txXfrm>
        <a:off x="2669608" y="572011"/>
        <a:ext cx="882515" cy="441257"/>
      </dsp:txXfrm>
    </dsp:sp>
    <dsp:sp>
      <dsp:nvSpPr>
        <dsp:cNvPr id="6" name="矩形 5"/>
        <dsp:cNvSpPr/>
      </dsp:nvSpPr>
      <dsp:spPr bwMode="white">
        <a:xfrm>
          <a:off x="533922" y="1198596"/>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作用对象</a:t>
          </a:r>
          <a:endParaRPr lang="zh-CN" altLang="en-US">
            <a:solidFill>
              <a:schemeClr val="dk1"/>
            </a:solidFill>
          </a:endParaRPr>
        </a:p>
      </dsp:txBody>
      <dsp:txXfrm>
        <a:off x="533922" y="1198596"/>
        <a:ext cx="882515" cy="441257"/>
      </dsp:txXfrm>
    </dsp:sp>
    <dsp:sp>
      <dsp:nvSpPr>
        <dsp:cNvPr id="32" name="矩形 31"/>
        <dsp:cNvSpPr/>
      </dsp:nvSpPr>
      <dsp:spPr bwMode="white">
        <a:xfrm>
          <a:off x="0" y="1825182"/>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altLang="en-US">
              <a:solidFill>
                <a:schemeClr val="dk1"/>
              </a:solidFill>
            </a:rPr>
            <a:t>个体功能</a:t>
          </a:r>
          <a:endParaRPr altLang="en-US">
            <a:solidFill>
              <a:schemeClr val="dk1"/>
            </a:solidFill>
          </a:endParaRPr>
        </a:p>
        <a:p>
          <a:pPr lvl="0">
            <a:lnSpc>
              <a:spcPct val="100000"/>
            </a:lnSpc>
            <a:spcBef>
              <a:spcPct val="0"/>
            </a:spcBef>
            <a:spcAft>
              <a:spcPct val="35000"/>
            </a:spcAft>
          </a:pPr>
          <a:r>
            <a:rPr lang="zh-CN">
              <a:solidFill>
                <a:schemeClr val="dk1"/>
              </a:solidFill>
            </a:rPr>
            <a:t>（本体）</a:t>
          </a:r>
          <a:endParaRPr lang="zh-CN">
            <a:solidFill>
              <a:schemeClr val="dk1"/>
            </a:solidFill>
          </a:endParaRPr>
        </a:p>
      </dsp:txBody>
      <dsp:txXfrm>
        <a:off x="0" y="1825182"/>
        <a:ext cx="882515" cy="441257"/>
      </dsp:txXfrm>
    </dsp:sp>
    <dsp:sp>
      <dsp:nvSpPr>
        <dsp:cNvPr id="59" name="矩形 58"/>
        <dsp:cNvSpPr/>
      </dsp:nvSpPr>
      <dsp:spPr bwMode="white">
        <a:xfrm>
          <a:off x="1067843" y="1825182"/>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altLang="en-US">
              <a:solidFill>
                <a:schemeClr val="dk1"/>
              </a:solidFill>
            </a:rPr>
            <a:t>社会功能</a:t>
          </a:r>
          <a:endParaRPr altLang="en-US">
            <a:solidFill>
              <a:schemeClr val="dk1"/>
            </a:solidFill>
          </a:endParaRPr>
        </a:p>
        <a:p>
          <a:pPr lvl="0">
            <a:lnSpc>
              <a:spcPct val="100000"/>
            </a:lnSpc>
            <a:spcBef>
              <a:spcPct val="0"/>
            </a:spcBef>
            <a:spcAft>
              <a:spcPct val="35000"/>
            </a:spcAft>
          </a:pPr>
          <a:r>
            <a:rPr lang="zh-CN">
              <a:solidFill>
                <a:schemeClr val="dk1"/>
              </a:solidFill>
            </a:rPr>
            <a:t>（派生）</a:t>
          </a:r>
          <a:endParaRPr lang="zh-CN">
            <a:solidFill>
              <a:schemeClr val="dk1"/>
            </a:solidFill>
          </a:endParaRPr>
        </a:p>
      </dsp:txBody>
      <dsp:txXfrm>
        <a:off x="1067843" y="1825182"/>
        <a:ext cx="882515" cy="441257"/>
      </dsp:txXfrm>
    </dsp:sp>
    <dsp:sp>
      <dsp:nvSpPr>
        <dsp:cNvPr id="9" name="矩形 8"/>
        <dsp:cNvSpPr/>
      </dsp:nvSpPr>
      <dsp:spPr bwMode="white">
        <a:xfrm>
          <a:off x="2669608" y="1198596"/>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作用方向</a:t>
          </a:r>
          <a:endParaRPr lang="zh-CN" altLang="en-US">
            <a:solidFill>
              <a:schemeClr val="dk1"/>
            </a:solidFill>
          </a:endParaRPr>
        </a:p>
      </dsp:txBody>
      <dsp:txXfrm>
        <a:off x="2669608" y="1198596"/>
        <a:ext cx="882515" cy="441257"/>
      </dsp:txXfrm>
    </dsp:sp>
    <dsp:sp>
      <dsp:nvSpPr>
        <dsp:cNvPr id="38" name="矩形 37"/>
        <dsp:cNvSpPr/>
      </dsp:nvSpPr>
      <dsp:spPr bwMode="white">
        <a:xfrm>
          <a:off x="2135686" y="1825182"/>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altLang="en-US">
              <a:solidFill>
                <a:schemeClr val="dk1"/>
              </a:solidFill>
            </a:rPr>
            <a:t>正向功能</a:t>
          </a:r>
          <a:endParaRPr altLang="en-US">
            <a:solidFill>
              <a:schemeClr val="dk1"/>
            </a:solidFill>
          </a:endParaRPr>
        </a:p>
        <a:p>
          <a:pPr lvl="0">
            <a:lnSpc>
              <a:spcPct val="100000"/>
            </a:lnSpc>
            <a:spcBef>
              <a:spcPct val="0"/>
            </a:spcBef>
            <a:spcAft>
              <a:spcPct val="35000"/>
            </a:spcAft>
          </a:pPr>
          <a:r>
            <a:rPr lang="zh-CN">
              <a:solidFill>
                <a:schemeClr val="dk1"/>
              </a:solidFill>
            </a:rPr>
            <a:t>（积极）</a:t>
          </a:r>
          <a:endParaRPr lang="zh-CN">
            <a:solidFill>
              <a:schemeClr val="dk1"/>
            </a:solidFill>
          </a:endParaRPr>
        </a:p>
      </dsp:txBody>
      <dsp:txXfrm>
        <a:off x="2135686" y="1825182"/>
        <a:ext cx="882515" cy="441257"/>
      </dsp:txXfrm>
    </dsp:sp>
    <dsp:sp>
      <dsp:nvSpPr>
        <dsp:cNvPr id="47" name="矩形 46"/>
        <dsp:cNvSpPr/>
      </dsp:nvSpPr>
      <dsp:spPr bwMode="white">
        <a:xfrm>
          <a:off x="3203529" y="1825182"/>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altLang="en-US">
              <a:solidFill>
                <a:schemeClr val="dk1"/>
              </a:solidFill>
            </a:rPr>
            <a:t>负向功能</a:t>
          </a:r>
          <a:endParaRPr altLang="en-US">
            <a:solidFill>
              <a:schemeClr val="dk1"/>
            </a:solidFill>
          </a:endParaRPr>
        </a:p>
        <a:p>
          <a:pPr lvl="0">
            <a:lnSpc>
              <a:spcPct val="100000"/>
            </a:lnSpc>
            <a:spcBef>
              <a:spcPct val="0"/>
            </a:spcBef>
            <a:spcAft>
              <a:spcPct val="35000"/>
            </a:spcAft>
          </a:pPr>
          <a:r>
            <a:rPr lang="zh-CN">
              <a:solidFill>
                <a:schemeClr val="dk1"/>
              </a:solidFill>
            </a:rPr>
            <a:t>（消极）</a:t>
          </a:r>
          <a:endParaRPr lang="zh-CN">
            <a:solidFill>
              <a:schemeClr val="dk1"/>
            </a:solidFill>
          </a:endParaRPr>
        </a:p>
      </dsp:txBody>
      <dsp:txXfrm>
        <a:off x="3203529" y="1825182"/>
        <a:ext cx="882515" cy="441257"/>
      </dsp:txXfrm>
    </dsp:sp>
    <dsp:sp>
      <dsp:nvSpPr>
        <dsp:cNvPr id="12" name="矩形 11"/>
        <dsp:cNvSpPr/>
      </dsp:nvSpPr>
      <dsp:spPr bwMode="white">
        <a:xfrm>
          <a:off x="4805294" y="1198596"/>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lang="zh-CN" altLang="en-US">
              <a:solidFill>
                <a:schemeClr val="dk1"/>
              </a:solidFill>
            </a:rPr>
            <a:t>作用呈现形式</a:t>
          </a:r>
          <a:endParaRPr lang="zh-CN" altLang="en-US">
            <a:solidFill>
              <a:schemeClr val="dk1"/>
            </a:solidFill>
          </a:endParaRPr>
        </a:p>
      </dsp:txBody>
      <dsp:txXfrm>
        <a:off x="4805294" y="1198596"/>
        <a:ext cx="882515" cy="441257"/>
      </dsp:txXfrm>
    </dsp:sp>
    <dsp:sp>
      <dsp:nvSpPr>
        <dsp:cNvPr id="50" name="矩形 49"/>
        <dsp:cNvSpPr/>
      </dsp:nvSpPr>
      <dsp:spPr bwMode="white">
        <a:xfrm>
          <a:off x="4271372" y="1825182"/>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altLang="en-US">
              <a:solidFill>
                <a:schemeClr val="dk1"/>
              </a:solidFill>
            </a:rPr>
            <a:t>显性功能</a:t>
          </a:r>
          <a:endParaRPr altLang="en-US">
            <a:solidFill>
              <a:schemeClr val="dk1"/>
            </a:solidFill>
          </a:endParaRPr>
        </a:p>
        <a:p>
          <a:pPr lvl="0">
            <a:lnSpc>
              <a:spcPct val="100000"/>
            </a:lnSpc>
            <a:spcBef>
              <a:spcPct val="0"/>
            </a:spcBef>
            <a:spcAft>
              <a:spcPct val="35000"/>
            </a:spcAft>
          </a:pPr>
          <a:r>
            <a:rPr lang="zh-CN">
              <a:solidFill>
                <a:schemeClr val="dk1"/>
              </a:solidFill>
            </a:rPr>
            <a:t>（可预期）</a:t>
          </a:r>
          <a:endParaRPr lang="zh-CN">
            <a:solidFill>
              <a:schemeClr val="dk1"/>
            </a:solidFill>
          </a:endParaRPr>
        </a:p>
      </dsp:txBody>
      <dsp:txXfrm>
        <a:off x="4271372" y="1825182"/>
        <a:ext cx="882515" cy="441257"/>
      </dsp:txXfrm>
    </dsp:sp>
    <dsp:sp>
      <dsp:nvSpPr>
        <dsp:cNvPr id="56" name="矩形 55"/>
        <dsp:cNvSpPr/>
      </dsp:nvSpPr>
      <dsp:spPr bwMode="white">
        <a:xfrm>
          <a:off x="5339215" y="1825182"/>
          <a:ext cx="882515" cy="441257"/>
        </a:xfrm>
        <a:prstGeom prst="rect">
          <a:avLst/>
        </a:prstGeom>
      </dsp:spPr>
      <dsp:style>
        <a:lnRef idx="2">
          <a:schemeClr val="dk1">
            <a:shade val="80000"/>
          </a:schemeClr>
        </a:lnRef>
        <a:fillRef idx="1">
          <a:schemeClr val="lt1"/>
        </a:fillRef>
        <a:effectRef idx="0">
          <a:scrgbClr r="0" g="0" b="0"/>
        </a:effectRef>
        <a:fontRef idx="minor">
          <a:schemeClr val="lt1"/>
        </a:fontRef>
      </dsp:style>
      <dsp:txBody>
        <a:bodyPr vert="horz" wrap="square" lIns="6985" tIns="6985" rIns="6985" bIns="6985" anchor="ctr"/>
        <a:lstStyle>
          <a:lvl1pPr algn="ctr">
            <a:defRPr sz="1100"/>
          </a:lvl1pPr>
          <a:lvl2pPr marL="57150" indent="-57150" algn="ctr">
            <a:defRPr sz="800"/>
          </a:lvl2pPr>
          <a:lvl3pPr marL="114300" indent="-57150" algn="ctr">
            <a:defRPr sz="800"/>
          </a:lvl3pPr>
          <a:lvl4pPr marL="171450" indent="-57150" algn="ctr">
            <a:defRPr sz="800"/>
          </a:lvl4pPr>
          <a:lvl5pPr marL="228600" indent="-57150" algn="ctr">
            <a:defRPr sz="800"/>
          </a:lvl5pPr>
          <a:lvl6pPr marL="285750" indent="-57150" algn="ctr">
            <a:defRPr sz="800"/>
          </a:lvl6pPr>
          <a:lvl7pPr marL="342900" indent="-57150" algn="ctr">
            <a:defRPr sz="800"/>
          </a:lvl7pPr>
          <a:lvl8pPr marL="400050" indent="-57150" algn="ctr">
            <a:defRPr sz="800"/>
          </a:lvl8pPr>
          <a:lvl9pPr marL="457200" indent="-57150" algn="ctr">
            <a:defRPr sz="800"/>
          </a:lvl9pPr>
        </a:lstStyle>
        <a:p>
          <a:pPr lvl="0">
            <a:lnSpc>
              <a:spcPct val="100000"/>
            </a:lnSpc>
            <a:spcBef>
              <a:spcPct val="0"/>
            </a:spcBef>
            <a:spcAft>
              <a:spcPct val="35000"/>
            </a:spcAft>
          </a:pPr>
          <a:r>
            <a:rPr altLang="en-US">
              <a:solidFill>
                <a:schemeClr val="dk1"/>
              </a:solidFill>
            </a:rPr>
            <a:t>隐性功能</a:t>
          </a:r>
          <a:endParaRPr altLang="en-US">
            <a:solidFill>
              <a:schemeClr val="dk1"/>
            </a:solidFill>
          </a:endParaRPr>
        </a:p>
        <a:p>
          <a:pPr lvl="0">
            <a:lnSpc>
              <a:spcPct val="100000"/>
            </a:lnSpc>
            <a:spcBef>
              <a:spcPct val="0"/>
            </a:spcBef>
            <a:spcAft>
              <a:spcPct val="35000"/>
            </a:spcAft>
          </a:pPr>
          <a:r>
            <a:rPr lang="zh-CN">
              <a:solidFill>
                <a:schemeClr val="dk1"/>
              </a:solidFill>
            </a:rPr>
            <a:t>（不可预期）</a:t>
          </a:r>
          <a:endParaRPr lang="zh-CN">
            <a:solidFill>
              <a:schemeClr val="dk1"/>
            </a:solidFill>
          </a:endParaRPr>
        </a:p>
      </dsp:txBody>
      <dsp:txXfrm>
        <a:off x="5339215" y="1825182"/>
        <a:ext cx="882515" cy="441257"/>
      </dsp:txXfrm>
    </dsp:sp>
    <dsp:sp>
      <dsp:nvSpPr>
        <dsp:cNvPr id="4" name="矩形 3" hidden="1"/>
        <dsp:cNvSpPr/>
      </dsp:nvSpPr>
      <dsp:spPr bwMode="white">
        <a:xfrm>
          <a:off x="2669608" y="572011"/>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2669608" y="572011"/>
        <a:ext cx="176503" cy="441257"/>
      </dsp:txXfrm>
    </dsp:sp>
    <dsp:sp>
      <dsp:nvSpPr>
        <dsp:cNvPr id="7" name="矩形 6" hidden="1"/>
        <dsp:cNvSpPr/>
      </dsp:nvSpPr>
      <dsp:spPr bwMode="white">
        <a:xfrm>
          <a:off x="533922" y="1198596"/>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533922" y="1198596"/>
        <a:ext cx="176503" cy="441257"/>
      </dsp:txXfrm>
    </dsp:sp>
    <dsp:sp>
      <dsp:nvSpPr>
        <dsp:cNvPr id="33" name="矩形 32" hidden="1"/>
        <dsp:cNvSpPr/>
      </dsp:nvSpPr>
      <dsp:spPr bwMode="white">
        <a:xfrm>
          <a:off x="0" y="1825182"/>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0" y="1825182"/>
        <a:ext cx="176503" cy="441257"/>
      </dsp:txXfrm>
    </dsp:sp>
    <dsp:sp>
      <dsp:nvSpPr>
        <dsp:cNvPr id="60" name="矩形 59" hidden="1"/>
        <dsp:cNvSpPr/>
      </dsp:nvSpPr>
      <dsp:spPr bwMode="white">
        <a:xfrm>
          <a:off x="1067843" y="1825182"/>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1067843" y="1825182"/>
        <a:ext cx="176503" cy="441257"/>
      </dsp:txXfrm>
    </dsp:sp>
    <dsp:sp>
      <dsp:nvSpPr>
        <dsp:cNvPr id="10" name="矩形 9" hidden="1"/>
        <dsp:cNvSpPr/>
      </dsp:nvSpPr>
      <dsp:spPr bwMode="white">
        <a:xfrm>
          <a:off x="2669608" y="1198596"/>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2669608" y="1198596"/>
        <a:ext cx="176503" cy="441257"/>
      </dsp:txXfrm>
    </dsp:sp>
    <dsp:sp>
      <dsp:nvSpPr>
        <dsp:cNvPr id="39" name="矩形 38" hidden="1"/>
        <dsp:cNvSpPr/>
      </dsp:nvSpPr>
      <dsp:spPr bwMode="white">
        <a:xfrm>
          <a:off x="2135686" y="1825182"/>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2135686" y="1825182"/>
        <a:ext cx="176503" cy="441257"/>
      </dsp:txXfrm>
    </dsp:sp>
    <dsp:sp>
      <dsp:nvSpPr>
        <dsp:cNvPr id="48" name="矩形 47" hidden="1"/>
        <dsp:cNvSpPr/>
      </dsp:nvSpPr>
      <dsp:spPr bwMode="white">
        <a:xfrm>
          <a:off x="3203529" y="1825182"/>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3203529" y="1825182"/>
        <a:ext cx="176503" cy="441257"/>
      </dsp:txXfrm>
    </dsp:sp>
    <dsp:sp>
      <dsp:nvSpPr>
        <dsp:cNvPr id="13" name="矩形 12" hidden="1"/>
        <dsp:cNvSpPr/>
      </dsp:nvSpPr>
      <dsp:spPr bwMode="white">
        <a:xfrm>
          <a:off x="4805294" y="1198596"/>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4805294" y="1198596"/>
        <a:ext cx="176503" cy="441257"/>
      </dsp:txXfrm>
    </dsp:sp>
    <dsp:sp>
      <dsp:nvSpPr>
        <dsp:cNvPr id="51" name="矩形 50" hidden="1"/>
        <dsp:cNvSpPr/>
      </dsp:nvSpPr>
      <dsp:spPr bwMode="white">
        <a:xfrm>
          <a:off x="4271372" y="1825182"/>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4271372" y="1825182"/>
        <a:ext cx="176503" cy="441257"/>
      </dsp:txXfrm>
    </dsp:sp>
    <dsp:sp>
      <dsp:nvSpPr>
        <dsp:cNvPr id="57" name="矩形 56" hidden="1"/>
        <dsp:cNvSpPr/>
      </dsp:nvSpPr>
      <dsp:spPr bwMode="white">
        <a:xfrm>
          <a:off x="5339215" y="1825182"/>
          <a:ext cx="176503" cy="441257"/>
        </a:xfrm>
        <a:prstGeom prst="rect">
          <a:avLst/>
        </a:prstGeom>
      </dsp:spPr>
      <dsp:style>
        <a:lnRef idx="2">
          <a:schemeClr val="dk1">
            <a:shade val="80000"/>
          </a:schemeClr>
        </a:lnRef>
        <a:fillRef idx="1">
          <a:schemeClr val="lt1"/>
        </a:fillRef>
        <a:effectRef idx="0">
          <a:scrgbClr r="0" g="0" b="0"/>
        </a:effectRef>
        <a:fontRef idx="minor">
          <a:schemeClr val="lt1"/>
        </a:fontRef>
      </dsp:style>
      <dsp:txXfrm>
        <a:off x="5339215" y="1825182"/>
        <a:ext cx="176503" cy="4412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rSet qsTypeId="urn:microsoft.com/office/officeart/2005/8/quickstyle/simple5"/>
        </dgm:pt>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rSet csTypeId="urn:microsoft.com/office/officeart/2005/8/colors/accent6_5"/>
        </dgm:pt>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rgbClr val="000000"/>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rgbClr val="FFFFFF"/>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rgbClr val="FFFFFF"/>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rgbClr val="000000"/>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2020-06-22T08:23:00Z</dcterms:created>
  <dc:creator>人生如戏</dc:creator>
  <cp:lastModifiedBy>房东的ねこ</cp:lastModifiedBy>
  <dcterms:modified xsi:type="dcterms:W3CDTF">2020-07-09T06:50:56Z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